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F7" w:rsidRPr="00696DBB" w:rsidRDefault="00696DBB">
      <w:pPr>
        <w:pStyle w:val="Standard"/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0" w:name="_GoBack"/>
      <w:bookmarkEnd w:id="0"/>
      <w:r>
        <w:rPr>
          <w:rFonts w:ascii="Times New Roman" w:eastAsia="F" w:hAnsi="Times New Roman" w:cs="Times New Roman"/>
          <w:b/>
          <w:bCs/>
          <w:color w:val="000000"/>
          <w:lang w:val="ru-RU"/>
        </w:rPr>
        <w:t>Информация о результатах контрольного мероприятия</w:t>
      </w:r>
    </w:p>
    <w:p w:rsidR="00F660F7" w:rsidRPr="00696DBB" w:rsidRDefault="00F660F7">
      <w:pPr>
        <w:pStyle w:val="Standard"/>
        <w:jc w:val="both"/>
        <w:rPr>
          <w:lang w:val="ru-RU"/>
        </w:rPr>
      </w:pP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b/>
          <w:lang w:val="ru-RU"/>
        </w:rPr>
        <w:t>Объект   контрольного мероприятия</w:t>
      </w:r>
      <w:r w:rsidRPr="00696DBB">
        <w:rPr>
          <w:rFonts w:ascii="Times New Roman" w:eastAsia="F" w:hAnsi="Times New Roman" w:cs="Times New Roman"/>
          <w:lang w:val="ru-RU"/>
        </w:rPr>
        <w:t>:</w:t>
      </w:r>
    </w:p>
    <w:p w:rsidR="00F660F7" w:rsidRDefault="00696DBB">
      <w:pPr>
        <w:pStyle w:val="Standard"/>
        <w:jc w:val="both"/>
      </w:pPr>
      <w:r w:rsidRPr="00696DBB">
        <w:rPr>
          <w:rFonts w:ascii="Times New Roman" w:hAnsi="Times New Roman" w:cs="Times New Roman"/>
          <w:lang w:val="ru-RU"/>
        </w:rPr>
        <w:t xml:space="preserve">Муниципальное бюджетное образовательное учреждение  </w:t>
      </w:r>
      <w:r w:rsidRPr="00696DBB">
        <w:rPr>
          <w:rFonts w:ascii="Times New Roman" w:hAnsi="Times New Roman" w:cs="Times New Roman"/>
          <w:lang w:val="ru-RU"/>
        </w:rPr>
        <w:t xml:space="preserve">«Верхнеуфтюгская средняя школа им. </w:t>
      </w:r>
      <w:r>
        <w:rPr>
          <w:rFonts w:ascii="Times New Roman" w:hAnsi="Times New Roman" w:cs="Times New Roman"/>
        </w:rPr>
        <w:t xml:space="preserve">Д.И. </w:t>
      </w:r>
      <w:r>
        <w:rPr>
          <w:rFonts w:ascii="Times New Roman" w:hAnsi="Times New Roman" w:cs="Times New Roman"/>
        </w:rPr>
        <w:t>Плакидин</w:t>
      </w:r>
      <w:r>
        <w:rPr>
          <w:rFonts w:ascii="Times New Roman" w:eastAsia="F" w:hAnsi="Times New Roman" w:cs="Times New Roman"/>
        </w:rPr>
        <w:t>а».</w:t>
      </w: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b/>
          <w:lang w:val="ru-RU"/>
        </w:rPr>
        <w:t>Основание для проведения</w:t>
      </w:r>
      <w:r w:rsidRPr="00696DBB">
        <w:rPr>
          <w:rFonts w:ascii="Times New Roman" w:eastAsia="F" w:hAnsi="Times New Roman" w:cs="Times New Roman"/>
          <w:lang w:val="ru-RU"/>
        </w:rPr>
        <w:t>:</w:t>
      </w: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lang w:val="ru-RU"/>
        </w:rPr>
        <w:t>Положение о контрольно-ревизионной комиссии муниципального образования «Красноборский муниципальный район», план работы контрольно-ревизионной комиссии муниципального образования «Красноборский муниципальный район» на</w:t>
      </w:r>
      <w:r w:rsidRPr="00696DBB">
        <w:rPr>
          <w:rFonts w:ascii="Times New Roman" w:eastAsia="F" w:hAnsi="Times New Roman" w:cs="Times New Roman"/>
          <w:lang w:val="ru-RU"/>
        </w:rPr>
        <w:t xml:space="preserve"> 2023 год.</w:t>
      </w: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b/>
          <w:lang w:val="ru-RU"/>
        </w:rPr>
        <w:t>Наименование (тема) мероприятия</w:t>
      </w:r>
      <w:r w:rsidRPr="00696DBB">
        <w:rPr>
          <w:rFonts w:ascii="Times New Roman" w:eastAsia="F" w:hAnsi="Times New Roman" w:cs="Times New Roman"/>
          <w:lang w:val="ru-RU"/>
        </w:rPr>
        <w:t>:</w:t>
      </w:r>
    </w:p>
    <w:p w:rsidR="00F660F7" w:rsidRDefault="00696DBB">
      <w:pPr>
        <w:pStyle w:val="Standard"/>
        <w:jc w:val="both"/>
      </w:pPr>
      <w:r w:rsidRPr="00696DBB">
        <w:rPr>
          <w:rFonts w:ascii="Times New Roman" w:hAnsi="Times New Roman" w:cs="Times New Roman"/>
          <w:lang w:val="ru-RU"/>
        </w:rPr>
        <w:t xml:space="preserve">Проверка </w:t>
      </w:r>
      <w:r w:rsidRPr="00696DBB">
        <w:rPr>
          <w:rFonts w:ascii="Times New Roman" w:hAnsi="Times New Roman" w:cs="Times New Roman"/>
          <w:lang w:val="ru-RU"/>
        </w:rPr>
        <w:t xml:space="preserve">целевого и эффективного использования  средств  бюджета и внебюджетных средств </w:t>
      </w:r>
      <w:r w:rsidRPr="00696DBB">
        <w:rPr>
          <w:rFonts w:ascii="Times New Roman" w:hAnsi="Times New Roman" w:cs="Times New Roman"/>
          <w:lang w:val="ru-RU" w:eastAsia="en-US"/>
        </w:rPr>
        <w:t xml:space="preserve">МБОУ «Верхнеуфтюгская средняя школа им. </w:t>
      </w:r>
      <w:r>
        <w:rPr>
          <w:rFonts w:ascii="Times New Roman" w:hAnsi="Times New Roman" w:cs="Times New Roman"/>
          <w:lang w:eastAsia="en-US"/>
        </w:rPr>
        <w:t xml:space="preserve">Д.И. Плакидина» </w:t>
      </w:r>
      <w:r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bCs/>
        </w:rPr>
        <w:t>период 01.01.2022 по 31.12.2022 года.</w:t>
      </w: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b/>
          <w:lang w:val="ru-RU"/>
        </w:rPr>
        <w:t>Цели и задачи мероприятия</w:t>
      </w:r>
      <w:r w:rsidRPr="00696DBB">
        <w:rPr>
          <w:rFonts w:ascii="Times New Roman" w:eastAsia="F" w:hAnsi="Times New Roman" w:cs="Times New Roman"/>
          <w:lang w:val="ru-RU"/>
        </w:rPr>
        <w:t>:</w:t>
      </w:r>
    </w:p>
    <w:p w:rsidR="00F660F7" w:rsidRPr="00696DBB" w:rsidRDefault="00696DBB">
      <w:pPr>
        <w:pStyle w:val="Standard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lang w:val="ru-RU"/>
        </w:rPr>
        <w:t>-контроль за соблюдением законодательства РФ при осуществлении учреждением хозяйственных и финансовых операций, их обоснованности в соответствии с утвержденными нормативами и сметами.</w:t>
      </w:r>
    </w:p>
    <w:p w:rsidR="00F660F7" w:rsidRPr="00696DBB" w:rsidRDefault="00696DBB">
      <w:pPr>
        <w:pStyle w:val="Standard"/>
        <w:ind w:firstLine="624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eastAsia="F" w:hAnsi="Times New Roman" w:cs="Times New Roman"/>
          <w:b/>
          <w:bCs/>
          <w:color w:val="000000"/>
          <w:lang w:val="ru-RU"/>
        </w:rPr>
        <w:t>Объем проверенных бюджетных средств</w:t>
      </w:r>
      <w:r>
        <w:rPr>
          <w:rFonts w:ascii="Times New Roman" w:eastAsia="F" w:hAnsi="Times New Roman" w:cs="Times New Roman"/>
          <w:color w:val="000000"/>
          <w:lang w:val="ru-RU"/>
        </w:rPr>
        <w:t xml:space="preserve"> составил 41023,5 тыс. рублей.</w:t>
      </w:r>
    </w:p>
    <w:p w:rsidR="00F660F7" w:rsidRDefault="00696DBB">
      <w:pPr>
        <w:pStyle w:val="Standard"/>
        <w:ind w:firstLine="624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eastAsia="F" w:hAnsi="Times New Roman" w:cs="Times New Roman"/>
          <w:b/>
          <w:bCs/>
          <w:color w:val="000000"/>
          <w:spacing w:val="-4"/>
          <w:lang w:val="ru-RU" w:eastAsia="ru-RU"/>
        </w:rPr>
        <w:t>Нарушения и недостатки, выявленные по результатам контрольного мероприятия:</w:t>
      </w:r>
    </w:p>
    <w:p w:rsidR="00F660F7" w:rsidRPr="00696DBB" w:rsidRDefault="00696DBB">
      <w:pPr>
        <w:pStyle w:val="Standard"/>
        <w:tabs>
          <w:tab w:val="left" w:pos="284"/>
        </w:tabs>
        <w:ind w:firstLine="709"/>
        <w:jc w:val="both"/>
        <w:rPr>
          <w:lang w:val="ru-RU"/>
        </w:rPr>
      </w:pPr>
      <w:r w:rsidRPr="00696D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В нарушение п. 38 Приказа Минфина России от 25.03.2011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N</w:t>
      </w:r>
      <w:r w:rsidRPr="00696D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33н (с учетом изменений и дополнений) "Об утверждении Инструкции о порядке составления, представления годовой, квартальн</w:t>
      </w:r>
      <w:r w:rsidRPr="00696DB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ой бухгалтерской отчетности государственных (муниципальных) бюджетных и автономных учреждений» графа 4 Отчета </w:t>
      </w:r>
      <w:hyperlink r:id="rId7" w:history="1">
        <w:r w:rsidRPr="00696DBB">
          <w:rPr>
            <w:rStyle w:val="Internetlink"/>
            <w:rFonts w:ascii="Times New Roman" w:eastAsia="Times New Roman" w:hAnsi="Times New Roman"/>
            <w:lang w:val="ru-RU" w:eastAsia="ru-RU"/>
          </w:rPr>
          <w:t>(</w:t>
        </w:r>
      </w:hyperlink>
      <w:hyperlink r:id="rId8" w:history="1">
        <w:r w:rsidRPr="00696DBB">
          <w:rPr>
            <w:rStyle w:val="Internetlink"/>
            <w:rFonts w:ascii="Times New Roman" w:eastAsia="Times New Roman" w:hAnsi="Times New Roman"/>
            <w:lang w:val="ru-RU" w:eastAsia="ru-RU"/>
          </w:rPr>
          <w:t>ф. 0503737</w:t>
        </w:r>
      </w:hyperlink>
      <w:r w:rsidRPr="00696DBB">
        <w:rPr>
          <w:rStyle w:val="Internetlink"/>
          <w:rFonts w:ascii="Times New Roman" w:eastAsia="Times New Roman" w:hAnsi="Times New Roman"/>
          <w:color w:val="000000"/>
          <w:lang w:val="ru-RU" w:eastAsia="ru-RU"/>
        </w:rPr>
        <w:t>)</w:t>
      </w:r>
      <w:r w:rsidRPr="00696DBB">
        <w:rPr>
          <w:rStyle w:val="Internetlink"/>
          <w:rFonts w:ascii="Times New Roman" w:eastAsia="Times New Roman" w:hAnsi="Times New Roman"/>
          <w:color w:val="000000"/>
          <w:u w:val="none"/>
          <w:lang w:val="ru-RU" w:eastAsia="ru-RU"/>
        </w:rPr>
        <w:t xml:space="preserve"> </w:t>
      </w:r>
      <w:r w:rsidRPr="00696DBB">
        <w:rPr>
          <w:rFonts w:ascii="Times New Roman" w:eastAsia="Times New Roman" w:hAnsi="Times New Roman" w:cs="Times New Roman"/>
          <w:color w:val="000000"/>
          <w:lang w:val="ru-RU" w:eastAsia="ru-RU"/>
        </w:rPr>
        <w:t>данных бухгалтерской отчетности не  соответствует, показателям уточненного плана финансово-хозяйственной деятельности учрежде</w:t>
      </w:r>
      <w:r w:rsidRPr="00696DBB">
        <w:rPr>
          <w:rFonts w:ascii="Times New Roman" w:eastAsia="Times New Roman" w:hAnsi="Times New Roman" w:cs="Times New Roman"/>
          <w:color w:val="000000"/>
          <w:lang w:val="ru-RU" w:eastAsia="ru-RU"/>
        </w:rPr>
        <w:t>ния.</w:t>
      </w:r>
      <w:r w:rsidRPr="00696DBB">
        <w:rPr>
          <w:rFonts w:ascii="Times New Roman" w:eastAsia="Times New Roman" w:hAnsi="Times New Roman" w:cs="Times New Roman"/>
          <w:color w:val="000000"/>
          <w:spacing w:val="-4"/>
          <w:lang w:val="ru-RU" w:eastAsia="ru-RU"/>
        </w:rPr>
        <w:t xml:space="preserve"> При проверке годового отчета за 2022 год установлено несоответствие данных первичного учета данным аналитического учета (по приносящей доход деятельности) в сумме 158091,66 руб.</w:t>
      </w:r>
    </w:p>
    <w:p w:rsidR="00F660F7" w:rsidRPr="00696DBB" w:rsidRDefault="00696DBB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2.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В нарушение п. 15 Приказа N 86 н утвержденного Минфином РФ м</w:t>
      </w:r>
      <w:r w:rsidRPr="00696DBB">
        <w:rPr>
          <w:rFonts w:ascii="Times New Roman" w:hAnsi="Times New Roman" w:cs="Times New Roman"/>
          <w:color w:val="000000"/>
          <w:lang w:val="ru-RU" w:eastAsia="ru-RU"/>
        </w:rPr>
        <w:t>униципальное задание на 2022 год, размещено Учреждением в сети Интернет с нарушением сроков.</w:t>
      </w:r>
    </w:p>
    <w:p w:rsidR="00F660F7" w:rsidRPr="00696DBB" w:rsidRDefault="00696DBB">
      <w:pPr>
        <w:pStyle w:val="Standard"/>
        <w:ind w:firstLine="709"/>
        <w:jc w:val="both"/>
        <w:rPr>
          <w:lang w:val="ru-RU"/>
        </w:rPr>
      </w:pPr>
      <w:r w:rsidRPr="00696DBB">
        <w:rPr>
          <w:rFonts w:ascii="Times New Roman" w:eastAsia="Times New Roman" w:hAnsi="Times New Roman" w:cs="Times New Roman"/>
          <w:spacing w:val="-2"/>
          <w:lang w:val="ru-RU"/>
        </w:rPr>
        <w:t xml:space="preserve">3. В нарушение п.8 ст.16 Федерального закона № 44 ФЗ план- график не </w:t>
      </w:r>
      <w:r w:rsidRPr="00696DBB">
        <w:rPr>
          <w:rFonts w:ascii="Times New Roman" w:hAnsi="Times New Roman" w:cs="Times New Roman"/>
          <w:lang w:val="ru-RU"/>
        </w:rPr>
        <w:t xml:space="preserve">приведен  в соответствие в связи </w:t>
      </w:r>
      <w:r w:rsidRPr="00696DBB">
        <w:rPr>
          <w:rFonts w:ascii="Times New Roman" w:hAnsi="Times New Roman" w:cs="Times New Roman"/>
          <w:lang w:val="ru-RU"/>
        </w:rPr>
        <w:t>с изменением показателей планов финансово-хозяйственной деятельности Учреждения от 23.06.2022 года и от 05.09.2022 года.</w:t>
      </w:r>
    </w:p>
    <w:p w:rsidR="00F660F7" w:rsidRPr="00696DBB" w:rsidRDefault="00696DBB">
      <w:pPr>
        <w:pStyle w:val="Standard"/>
        <w:ind w:firstLine="709"/>
        <w:jc w:val="both"/>
        <w:rPr>
          <w:lang w:val="ru-RU"/>
        </w:rPr>
      </w:pPr>
      <w:r w:rsidRPr="00696DBB">
        <w:rPr>
          <w:rFonts w:ascii="Times New Roman" w:eastAsia="TimesNewRomanPSMT" w:hAnsi="Times New Roman" w:cs="Times New Roman"/>
          <w:color w:val="000000"/>
          <w:lang w:val="ru-RU"/>
        </w:rPr>
        <w:t xml:space="preserve">4. </w:t>
      </w:r>
      <w:r w:rsidRPr="00696DBB">
        <w:rPr>
          <w:rFonts w:ascii="Times New Roman" w:eastAsia="F" w:hAnsi="Times New Roman" w:cs="Times New Roman"/>
          <w:lang w:val="ru-RU"/>
        </w:rPr>
        <w:t>В нарушение с требованиями Федерального закона от 06.12.2011 г. № 402-ФЗ «О бухгалтерском учете» и Методических указаний по инвентар</w:t>
      </w:r>
      <w:r w:rsidRPr="00696DBB">
        <w:rPr>
          <w:rFonts w:ascii="Times New Roman" w:eastAsia="F" w:hAnsi="Times New Roman" w:cs="Times New Roman"/>
          <w:lang w:val="ru-RU"/>
        </w:rPr>
        <w:t>изации имущества и финансовых обязательств, утвержденных приказом Минфина России от 13.06.1995 г. № 49, в Учреждении  не проводилась инвентаризация расчетов с покупателями, поставщиками и прочими дебиторами и кредиторами на отчетные даты.</w:t>
      </w:r>
    </w:p>
    <w:p w:rsidR="00F660F7" w:rsidRPr="00696DBB" w:rsidRDefault="00696DBB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статьи 9 Федерального закона № 402-ФЗ, и</w:t>
      </w:r>
      <w:r>
        <w:rPr>
          <w:rFonts w:ascii="Times New Roman" w:eastAsia="Times New Roman" w:hAnsi="Times New Roman" w:cs="Times New Roman"/>
          <w:lang w:val="ru-RU" w:eastAsia="ru-RU"/>
        </w:rPr>
        <w:t>меются случаи отсутствия подписей директора Учреждения в контрактах (договорах) на поставку товаров, оказания работ (услуг) данное нарушение отслеживается на протяжение всего проверяемого периода.</w:t>
      </w:r>
    </w:p>
    <w:p w:rsidR="00F660F7" w:rsidRDefault="00696DBB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6.  </w:t>
      </w:r>
      <w:r>
        <w:rPr>
          <w:rFonts w:ascii="Times New Roman" w:eastAsia="F" w:hAnsi="Times New Roman" w:cs="Times New Roman"/>
          <w:color w:val="000000"/>
        </w:rPr>
        <w:t xml:space="preserve">Проверкой </w:t>
      </w:r>
      <w:r>
        <w:rPr>
          <w:rFonts w:ascii="Times New Roman" w:eastAsia="F" w:hAnsi="Times New Roman" w:cs="Times New Roman"/>
          <w:color w:val="000000"/>
        </w:rPr>
        <w:t xml:space="preserve">установлено, что в нарушение статьи 9 Федерального закона № 402-ФЗ, </w:t>
      </w:r>
      <w:r>
        <w:rPr>
          <w:rFonts w:ascii="Times New Roman" w:eastAsia="F" w:hAnsi="Times New Roman" w:cs="Times New Roman"/>
          <w:color w:val="000000"/>
        </w:rPr>
        <w:t xml:space="preserve"> расчеты с организацией ООО «ТД Айсбери»,  ИП Кабаков Е.Л., ООО «ЭкоИнтегратор», АО «Е-Паблиш», ИП Плахотнюк С.А., ИП Шабалин А.В. произведены на основании копий первичных документов (Дого</w:t>
      </w:r>
      <w:r>
        <w:rPr>
          <w:rFonts w:ascii="Times New Roman" w:eastAsia="F" w:hAnsi="Times New Roman" w:cs="Times New Roman"/>
          <w:color w:val="000000"/>
        </w:rPr>
        <w:t>вор, счет (счет- фактура), товарная накладная).</w:t>
      </w:r>
    </w:p>
    <w:p w:rsidR="00F660F7" w:rsidRDefault="00696DBB">
      <w:pPr>
        <w:pStyle w:val="Standard"/>
        <w:ind w:firstLine="709"/>
        <w:jc w:val="both"/>
      </w:pPr>
      <w:r>
        <w:rPr>
          <w:rFonts w:ascii="Times New Roman" w:eastAsia="F" w:hAnsi="Times New Roman" w:cs="Times New Roman"/>
          <w:color w:val="000000"/>
          <w:kern w:val="0"/>
          <w:lang w:val="ru-RU" w:eastAsia="ru-RU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kern w:val="0"/>
          <w:lang w:val="ru-RU" w:eastAsia="ru-RU"/>
        </w:rPr>
        <w:t>В нарушение п.11. Приказа от 01.12.2010 года № 157н  в журналах операций № 4, на протяжении всего проверяемого периода,  не указано количество листов приложений.</w:t>
      </w:r>
    </w:p>
    <w:p w:rsidR="00F660F7" w:rsidRPr="00696DBB" w:rsidRDefault="00696DBB">
      <w:pPr>
        <w:pStyle w:val="Standard"/>
        <w:widowControl w:val="0"/>
        <w:ind w:firstLine="708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lang w:val="ru-RU" w:eastAsia="ru-RU"/>
        </w:rPr>
        <w:t xml:space="preserve">8. </w:t>
      </w:r>
      <w:r w:rsidRPr="00696DBB">
        <w:rPr>
          <w:rFonts w:ascii="Times New Roman" w:eastAsia="F" w:hAnsi="Times New Roman" w:cs="Times New Roman"/>
          <w:lang w:val="ru-RU" w:eastAsia="ru-RU"/>
        </w:rPr>
        <w:t xml:space="preserve">В нарушение п.1 ст.10 Федерального </w:t>
      </w:r>
      <w:r w:rsidRPr="00696DBB">
        <w:rPr>
          <w:rFonts w:ascii="Times New Roman" w:eastAsia="F" w:hAnsi="Times New Roman" w:cs="Times New Roman"/>
          <w:lang w:val="ru-RU" w:eastAsia="ru-RU"/>
        </w:rPr>
        <w:t>закона №402 - ФЗ остатки денежных средств по журналу операций №2 не соответствовали остаткам денежных средств главной книги в сумме 3671,95 руб.</w:t>
      </w:r>
    </w:p>
    <w:p w:rsidR="00F660F7" w:rsidRPr="00696DBB" w:rsidRDefault="00696DBB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F" w:hAnsi="Times New Roman" w:cs="Times New Roman"/>
        </w:rPr>
        <w:lastRenderedPageBreak/>
        <w:t xml:space="preserve">9. </w:t>
      </w:r>
      <w:r>
        <w:rPr>
          <w:rFonts w:eastAsia="F" w:cs="Times New Roman"/>
        </w:rPr>
        <w:t xml:space="preserve"> </w:t>
      </w:r>
      <w:r>
        <w:rPr>
          <w:rFonts w:eastAsia="F" w:cs="Times New Roman"/>
          <w:lang w:eastAsia="ru-RU"/>
        </w:rPr>
        <w:t>В нарушение приказа «Об учетной политике Учреждения» (приложение№ 13) получение наличных денег производилос</w:t>
      </w:r>
      <w:r>
        <w:rPr>
          <w:rFonts w:eastAsia="F" w:cs="Times New Roman"/>
          <w:lang w:eastAsia="ru-RU"/>
        </w:rPr>
        <w:t xml:space="preserve">ь сотрудникам занимающих должности не включенные в Перечень  должностных лиц, имеющих право  на получения денежных средств под отчет на хозяйственные цели — Директор, главный бухгалтер, ведущий бухгалтер, водитель, учитель. </w:t>
      </w:r>
      <w:r w:rsidRPr="00696DBB">
        <w:rPr>
          <w:rFonts w:eastAsia="F" w:cs="Times New Roman"/>
          <w:color w:val="111111"/>
          <w:lang w:val="ru-RU" w:eastAsia="ru-RU"/>
        </w:rPr>
        <w:t>Данное нарушение имеет системный</w:t>
      </w:r>
      <w:r w:rsidRPr="00696DBB">
        <w:rPr>
          <w:rFonts w:eastAsia="F" w:cs="Times New Roman"/>
          <w:color w:val="111111"/>
          <w:lang w:val="ru-RU" w:eastAsia="ru-RU"/>
        </w:rPr>
        <w:t xml:space="preserve"> характер и отслеживается на протяжении всего 2022 года.</w:t>
      </w:r>
    </w:p>
    <w:p w:rsidR="00F660F7" w:rsidRPr="00696DBB" w:rsidRDefault="00696DBB">
      <w:pPr>
        <w:pStyle w:val="Standard"/>
        <w:tabs>
          <w:tab w:val="left" w:pos="1260"/>
        </w:tabs>
        <w:ind w:firstLine="709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lang w:val="ru-RU" w:eastAsia="ru-RU"/>
        </w:rPr>
        <w:t xml:space="preserve">10. В нарушение ст.10 Федерального закона от № 402-ФЗ «О бухгалтерском учете», Приказа  Минфина России от 30.03.2015 </w:t>
      </w:r>
      <w:r>
        <w:rPr>
          <w:rFonts w:ascii="Times New Roman" w:eastAsia="F" w:hAnsi="Times New Roman" w:cs="Times New Roman"/>
          <w:lang w:eastAsia="ru-RU"/>
        </w:rPr>
        <w:t>N</w:t>
      </w:r>
      <w:r w:rsidRPr="00696DBB">
        <w:rPr>
          <w:rFonts w:ascii="Times New Roman" w:eastAsia="F" w:hAnsi="Times New Roman" w:cs="Times New Roman"/>
          <w:lang w:val="ru-RU" w:eastAsia="ru-RU"/>
        </w:rPr>
        <w:t xml:space="preserve"> 52н в авансовых отчетах  допускаются исправления с применением штриха.</w:t>
      </w:r>
    </w:p>
    <w:p w:rsidR="00F660F7" w:rsidRPr="00696DBB" w:rsidRDefault="00696DBB">
      <w:pPr>
        <w:pStyle w:val="Standard"/>
        <w:ind w:firstLine="709"/>
        <w:jc w:val="both"/>
        <w:rPr>
          <w:lang w:val="ru-RU"/>
        </w:rPr>
      </w:pPr>
      <w:r w:rsidRPr="00696DBB">
        <w:rPr>
          <w:rFonts w:ascii="Times New Roman" w:eastAsia="F" w:hAnsi="Times New Roman" w:cs="Times New Roman"/>
          <w:color w:val="000000"/>
          <w:lang w:val="ru-RU" w:eastAsia="ru-RU"/>
        </w:rPr>
        <w:t xml:space="preserve">11. </w:t>
      </w:r>
      <w:r w:rsidRPr="00696DBB">
        <w:rPr>
          <w:rFonts w:ascii="Times New Roman" w:eastAsia="F" w:hAnsi="Times New Roman" w:cs="Times New Roman"/>
          <w:color w:val="000000"/>
          <w:lang w:val="ru-RU" w:eastAsia="ru-RU"/>
        </w:rPr>
        <w:t>В на</w:t>
      </w:r>
      <w:r w:rsidRPr="00696DBB">
        <w:rPr>
          <w:rFonts w:ascii="Times New Roman" w:eastAsia="F" w:hAnsi="Times New Roman" w:cs="Times New Roman"/>
          <w:color w:val="000000"/>
          <w:lang w:val="ru-RU" w:eastAsia="ru-RU"/>
        </w:rPr>
        <w:t>рушение ст.9 закона № 402-ФЗ к</w:t>
      </w:r>
      <w:r w:rsidRPr="00696DBB">
        <w:rPr>
          <w:rFonts w:ascii="Times New Roman" w:eastAsia="F" w:hAnsi="Times New Roman" w:cs="Times New Roman"/>
          <w:color w:val="000000"/>
          <w:lang w:val="ru-RU" w:eastAsia="ru-RU"/>
        </w:rPr>
        <w:t xml:space="preserve"> а/о  №37 от 26.08.2022 года Смирнова А.В. в качестве подтверждающих расходы документов, приложена товарная накладная на сумму 45400,00 рублей. </w:t>
      </w:r>
      <w:r w:rsidRPr="00696DBB">
        <w:rPr>
          <w:rFonts w:ascii="Times New Roman" w:eastAsia="F" w:hAnsi="Times New Roman" w:cs="Times New Roman"/>
          <w:color w:val="342A06"/>
          <w:lang w:val="ru-RU" w:eastAsia="ru-RU"/>
        </w:rPr>
        <w:t xml:space="preserve">Товарная накладная  не является документом, который доказывает целевое </w:t>
      </w:r>
      <w:r w:rsidRPr="00696DBB">
        <w:rPr>
          <w:rFonts w:ascii="Times New Roman" w:eastAsia="F" w:hAnsi="Times New Roman" w:cs="Times New Roman"/>
          <w:color w:val="342A06"/>
          <w:lang w:val="ru-RU" w:eastAsia="ru-RU"/>
        </w:rPr>
        <w:t xml:space="preserve">использование средств при подтверждении расходов по авансовому отчету. В соответствии с нормами Федерального закона от 22.05.2003 </w:t>
      </w:r>
      <w:r>
        <w:rPr>
          <w:rFonts w:ascii="Times New Roman" w:eastAsia="F" w:hAnsi="Times New Roman" w:cs="Times New Roman"/>
          <w:color w:val="342A06"/>
          <w:lang w:eastAsia="ru-RU"/>
        </w:rPr>
        <w:t>N</w:t>
      </w:r>
      <w:r w:rsidRPr="00696DBB">
        <w:rPr>
          <w:rFonts w:ascii="Times New Roman" w:eastAsia="F" w:hAnsi="Times New Roman" w:cs="Times New Roman"/>
          <w:color w:val="342A06"/>
          <w:lang w:val="ru-RU" w:eastAsia="ru-RU"/>
        </w:rPr>
        <w:t xml:space="preserve"> 54-ФЗ (ред. от 23.12.2020) "О применении контрольно-кассовой техники при осуществлении наличных денежных расчетов и (или) ра</w:t>
      </w:r>
      <w:r w:rsidRPr="00696DBB">
        <w:rPr>
          <w:rFonts w:ascii="Times New Roman" w:eastAsia="F" w:hAnsi="Times New Roman" w:cs="Times New Roman"/>
          <w:color w:val="342A06"/>
          <w:lang w:val="ru-RU" w:eastAsia="ru-RU"/>
        </w:rPr>
        <w:t>счетов с использованием электронных средств платежа"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пользователь обяза</w:t>
      </w:r>
      <w:r w:rsidRPr="00696DBB">
        <w:rPr>
          <w:rFonts w:ascii="Times New Roman" w:eastAsia="F" w:hAnsi="Times New Roman" w:cs="Times New Roman"/>
          <w:color w:val="342A06"/>
          <w:lang w:val="ru-RU" w:eastAsia="ru-RU"/>
        </w:rPr>
        <w:t xml:space="preserve">н выдать кассовый чек.  </w:t>
      </w:r>
    </w:p>
    <w:p w:rsidR="00F660F7" w:rsidRDefault="00696DBB">
      <w:pPr>
        <w:pStyle w:val="ConsPlusNormal"/>
        <w:ind w:firstLine="709"/>
        <w:jc w:val="both"/>
      </w:pPr>
      <w:r>
        <w:rPr>
          <w:rFonts w:ascii="Times New Roman" w:eastAsia="F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По а/о № 44  от 03.10.2022 года Журавлевой А.А. неправомерно приняты к оплате  ж/д билеты, тип вагона –купейный, класс обслуживания 2Э, </w:t>
      </w:r>
      <w:r>
        <w:rPr>
          <w:rFonts w:ascii="Times New Roman" w:hAnsi="Times New Roman" w:cs="Times New Roman"/>
          <w:color w:val="000000"/>
          <w:sz w:val="24"/>
          <w:szCs w:val="24"/>
        </w:rPr>
        <w:t>в перечень оплаченных услуг которого входит бельё постельное,  предоставление питания, сани</w:t>
      </w:r>
      <w:r>
        <w:rPr>
          <w:rFonts w:ascii="Times New Roman" w:hAnsi="Times New Roman" w:cs="Times New Roman"/>
          <w:color w:val="000000"/>
          <w:sz w:val="24"/>
          <w:szCs w:val="24"/>
        </w:rPr>
        <w:t>тарных принадлежностей, прессы</w:t>
      </w:r>
      <w:r>
        <w:rPr>
          <w:rFonts w:ascii="Times New Roman" w:hAnsi="Times New Roman" w:cs="Times New Roman"/>
          <w:sz w:val="24"/>
          <w:szCs w:val="24"/>
        </w:rPr>
        <w:t>. Согласно п. 3. Порядка компенсации подлежат фактические расходы на оплату стоимости проезда и провоза багажа к месту использования отпуска и обратно к месту постоянного жительства (месту пребывания), подтвержденные проездным</w:t>
      </w:r>
      <w:r>
        <w:rPr>
          <w:rFonts w:ascii="Times New Roman" w:hAnsi="Times New Roman" w:cs="Times New Roman"/>
          <w:sz w:val="24"/>
          <w:szCs w:val="24"/>
        </w:rPr>
        <w:t>и документами (включая оплату услуг по оформлению проездных документов) железнодорожным транспортом - не выше стоимости проезда в купейном вагоне, включая предоставление постельных принадлежностей. Сумма 553,00 руб. является не правомерной и подлежит возвр</w:t>
      </w:r>
      <w:r>
        <w:rPr>
          <w:rFonts w:ascii="Times New Roman" w:hAnsi="Times New Roman" w:cs="Times New Roman"/>
          <w:sz w:val="24"/>
          <w:szCs w:val="24"/>
        </w:rPr>
        <w:t>ату в бюджет муниципального района.</w:t>
      </w:r>
    </w:p>
    <w:p w:rsidR="00F660F7" w:rsidRDefault="00696DB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По а/о № 59  от 14.12.2022 года Осиповой В.С. неправомерно приняты к оплате  ж/д билеты, тип вагона –купейный, класс обслуживания 2Э, </w:t>
      </w:r>
      <w:r>
        <w:rPr>
          <w:rFonts w:ascii="Times New Roman" w:hAnsi="Times New Roman" w:cs="Times New Roman"/>
          <w:color w:val="000000"/>
          <w:sz w:val="24"/>
          <w:szCs w:val="24"/>
        </w:rPr>
        <w:t>в перечень оплаченных услуг которого входит бельё постельное,  предоставление пита</w:t>
      </w:r>
      <w:r>
        <w:rPr>
          <w:rFonts w:ascii="Times New Roman" w:hAnsi="Times New Roman" w:cs="Times New Roman"/>
          <w:color w:val="000000"/>
          <w:sz w:val="24"/>
          <w:szCs w:val="24"/>
        </w:rPr>
        <w:t>ния, санитарных принадлежностей, прессы</w:t>
      </w:r>
      <w:r>
        <w:rPr>
          <w:rFonts w:ascii="Times New Roman" w:hAnsi="Times New Roman" w:cs="Times New Roman"/>
          <w:sz w:val="24"/>
          <w:szCs w:val="24"/>
        </w:rPr>
        <w:t xml:space="preserve">. Согласно п. 3. Порядка компенсации подлежат фактические расходы на оплату стоимости проезда и провоза багажа к месту использования отпуска и обратно к месту постоянного жительства (месту пребывания), подтвержденные </w:t>
      </w:r>
      <w:r>
        <w:rPr>
          <w:rFonts w:ascii="Times New Roman" w:hAnsi="Times New Roman" w:cs="Times New Roman"/>
          <w:sz w:val="24"/>
          <w:szCs w:val="24"/>
        </w:rPr>
        <w:t>проездными документами (включая оплату услуг по оформлению проездных документов) железнодорожным транспортом - не выше стоимости проезда в купейном вагоне, включая предоставление постельных принадлежностей. Сумма 1316,00 руб. является не правомерной и подл</w:t>
      </w:r>
      <w:r>
        <w:rPr>
          <w:rFonts w:ascii="Times New Roman" w:hAnsi="Times New Roman" w:cs="Times New Roman"/>
          <w:sz w:val="24"/>
          <w:szCs w:val="24"/>
        </w:rPr>
        <w:t>ежит возврату в бюджет муниципального района.</w:t>
      </w:r>
    </w:p>
    <w:p w:rsidR="00F660F7" w:rsidRDefault="00696DBB">
      <w:pPr>
        <w:pStyle w:val="Standard"/>
        <w:widowControl w:val="0"/>
        <w:ind w:firstLine="709"/>
        <w:jc w:val="both"/>
      </w:pPr>
      <w:r>
        <w:rPr>
          <w:rStyle w:val="a5"/>
          <w:rFonts w:ascii="Times New Roman" w:eastAsia="F" w:hAnsi="Times New Roman" w:cs="Times New Roman"/>
          <w:i w:val="0"/>
          <w:color w:val="000000"/>
          <w:lang w:val="ru-RU" w:eastAsia="ru-RU"/>
        </w:rPr>
        <w:t xml:space="preserve">14. В </w:t>
      </w:r>
      <w:r>
        <w:rPr>
          <w:rStyle w:val="a5"/>
          <w:rFonts w:ascii="Times New Roman" w:eastAsia="F" w:hAnsi="Times New Roman" w:cs="Times New Roman"/>
          <w:i w:val="0"/>
          <w:color w:val="000000"/>
          <w:lang w:eastAsia="ru-RU"/>
        </w:rPr>
        <w:t xml:space="preserve">нарушение п. 117, 118 Приказа Минфина РФ от 01.12.2010 № 157н </w:t>
      </w:r>
      <w:r>
        <w:rPr>
          <w:rStyle w:val="a5"/>
          <w:rFonts w:ascii="Times New Roman" w:eastAsia="F" w:hAnsi="Times New Roman" w:cs="Times New Roman"/>
          <w:i w:val="0"/>
          <w:color w:val="000000"/>
          <w:lang w:val="ru-RU" w:eastAsia="ru-RU"/>
        </w:rPr>
        <w:t>оборотные ведомости по основным средствам не ведутся  в разрезе материально-ответственных лиц.</w:t>
      </w:r>
    </w:p>
    <w:p w:rsidR="00F660F7" w:rsidRDefault="00696DBB">
      <w:pPr>
        <w:pStyle w:val="Standard"/>
        <w:ind w:firstLine="709"/>
        <w:jc w:val="both"/>
      </w:pPr>
      <w:r>
        <w:rPr>
          <w:rFonts w:ascii="Times New Roman" w:eastAsia="F" w:hAnsi="Times New Roman" w:cs="Times New Roman"/>
          <w:lang w:val="ru-RU" w:eastAsia="ru-RU"/>
        </w:rPr>
        <w:t xml:space="preserve">15. В нарушение приложения №11 к приказу «Об </w:t>
      </w:r>
      <w:r>
        <w:rPr>
          <w:rFonts w:ascii="Times New Roman" w:eastAsia="F" w:hAnsi="Times New Roman" w:cs="Times New Roman"/>
          <w:lang w:val="ru-RU" w:eastAsia="ru-RU"/>
        </w:rPr>
        <w:t>учетной политики» инвентаризация основных средств Учреждением  в 2022 году   не проводилась.</w:t>
      </w:r>
    </w:p>
    <w:p w:rsidR="00F660F7" w:rsidRDefault="00696DBB">
      <w:pPr>
        <w:pStyle w:val="Standard"/>
        <w:widowControl w:val="0"/>
        <w:tabs>
          <w:tab w:val="left" w:pos="-142"/>
          <w:tab w:val="left" w:pos="0"/>
        </w:tabs>
        <w:ind w:firstLine="709"/>
        <w:jc w:val="both"/>
      </w:pPr>
      <w:r>
        <w:rPr>
          <w:rStyle w:val="a5"/>
          <w:rFonts w:ascii="Times New Roman" w:hAnsi="Times New Roman" w:cs="Times New Roman"/>
          <w:i w:val="0"/>
          <w:lang w:eastAsia="ru-RU"/>
        </w:rPr>
        <w:t xml:space="preserve">16. </w:t>
      </w:r>
      <w:r>
        <w:rPr>
          <w:rFonts w:ascii="Times New Roman" w:hAnsi="Times New Roman" w:cs="Times New Roman"/>
          <w:lang w:eastAsia="ru-RU"/>
        </w:rPr>
        <w:t xml:space="preserve">Согласно  пункту 9 Приказа  Минфина </w:t>
      </w:r>
      <w:r>
        <w:rPr>
          <w:rFonts w:ascii="Times New Roman" w:hAnsi="Times New Roman" w:cs="Times New Roman"/>
          <w:lang w:eastAsia="ru-RU"/>
        </w:rPr>
        <w:t>N</w:t>
      </w:r>
      <w:r>
        <w:rPr>
          <w:rFonts w:ascii="Times New Roman" w:hAnsi="Times New Roman" w:cs="Times New Roman"/>
          <w:lang w:eastAsia="ru-RU"/>
        </w:rPr>
        <w:t xml:space="preserve"> 33 н утвержденного 25.03.2011 года  бухгалтерская отчетность составляется: на основе данных Главной книги и других регист</w:t>
      </w:r>
      <w:r>
        <w:rPr>
          <w:rFonts w:ascii="Times New Roman" w:hAnsi="Times New Roman" w:cs="Times New Roman"/>
          <w:lang w:eastAsia="ru-RU"/>
        </w:rPr>
        <w:t xml:space="preserve">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  <w:r>
        <w:rPr>
          <w:rFonts w:ascii="Times New Roman" w:hAnsi="Times New Roman" w:cs="Times New Roman"/>
          <w:lang w:eastAsia="ru-RU"/>
        </w:rPr>
        <w:t>Проверкой уста</w:t>
      </w:r>
      <w:r>
        <w:rPr>
          <w:rFonts w:ascii="Times New Roman" w:hAnsi="Times New Roman" w:cs="Times New Roman"/>
          <w:lang w:eastAsia="ru-RU"/>
        </w:rPr>
        <w:t>новлено, что данные по остаткам материальных запасов по Главной книге не соответствуют формам отчетности за 2022 года, что является фактом недостоверной отчетности в сумме 638581,16 руб.</w:t>
      </w:r>
    </w:p>
    <w:p w:rsidR="00F660F7" w:rsidRDefault="00696DBB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lastRenderedPageBreak/>
        <w:t>17. В нарушение ст. 9,10 Федерального закона №402 ФЗ имеются случаи о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тсутствия подписей </w:t>
      </w:r>
      <w:r>
        <w:rPr>
          <w:rStyle w:val="a5"/>
          <w:rFonts w:ascii="Times New Roman" w:hAnsi="Times New Roman" w:cs="Times New Roman"/>
          <w:i w:val="0"/>
          <w:iCs w:val="0"/>
          <w:color w:val="000000"/>
          <w:lang w:val="ru-RU" w:eastAsia="ru-RU"/>
        </w:rPr>
        <w:t>Руководителя Учреждения,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Главного бухгалтера, а также членов комиссии в:</w:t>
      </w:r>
    </w:p>
    <w:p w:rsidR="00F660F7" w:rsidRDefault="00696DBB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- Актах на списание материальных запасов (ф.0504230);</w:t>
      </w:r>
    </w:p>
    <w:p w:rsidR="00F660F7" w:rsidRDefault="00696DBB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-Накладных на внутреннее перемещение объектов нефинансовых активов (ф.0504102);</w:t>
      </w:r>
    </w:p>
    <w:p w:rsidR="00F660F7" w:rsidRDefault="00696DBB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-Актах  о приеме-передаче объектов нефинансовых активов (ф.0504101).</w:t>
      </w:r>
    </w:p>
    <w:p w:rsidR="00F660F7" w:rsidRDefault="00696DBB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18.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В нарушение п. 117, 118 Приказа Минфина РФ от 01.12.2010 № 157н оборотные ведомости по материальным запасам не ведутся  в разрезе материально-ответственных лиц.</w:t>
      </w:r>
    </w:p>
    <w:p w:rsidR="00F660F7" w:rsidRDefault="00696DBB">
      <w:pPr>
        <w:pStyle w:val="ConsPlusNormal"/>
        <w:spacing w:line="100" w:lineRule="atLeast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19. В нарушение статьи 10 Федерального закона № 402-ФЗ в журналах операций №7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4"/>
          <w:szCs w:val="24"/>
        </w:rPr>
        <w:t>не указывается количество приложений. Данное нарушение имеет системный характер и отслеживается на протяжении всего проверяемого периода.</w:t>
      </w:r>
    </w:p>
    <w:p w:rsidR="00F660F7" w:rsidRDefault="00696DBB">
      <w:pPr>
        <w:pStyle w:val="Standard"/>
        <w:widowControl w:val="0"/>
        <w:ind w:firstLine="709"/>
        <w:jc w:val="both"/>
      </w:pPr>
      <w:r>
        <w:rPr>
          <w:rFonts w:ascii="Times New Roman" w:eastAsia="F" w:hAnsi="Times New Roman" w:cs="Times New Roman"/>
          <w:lang w:eastAsia="ru-RU"/>
        </w:rPr>
        <w:t>20. В нарушение статьи 9 Федерального закона №402 «О бухгалтерском учете», о</w:t>
      </w:r>
      <w:r>
        <w:rPr>
          <w:rFonts w:ascii="Times New Roman" w:eastAsia="F" w:hAnsi="Times New Roman" w:cs="Times New Roman"/>
        </w:rPr>
        <w:t>правдательные документы подтверждающие об</w:t>
      </w:r>
      <w:r>
        <w:rPr>
          <w:rFonts w:ascii="Times New Roman" w:eastAsia="F" w:hAnsi="Times New Roman" w:cs="Times New Roman"/>
        </w:rPr>
        <w:t>основанность проведенных операций, в Учреждение отсутствуют.  Проверкой установлено, что н</w:t>
      </w:r>
      <w:r>
        <w:rPr>
          <w:rFonts w:ascii="Times New Roman" w:eastAsia="F" w:hAnsi="Times New Roman" w:cs="Times New Roman"/>
          <w:lang w:eastAsia="ru-RU"/>
        </w:rPr>
        <w:t>орма списания бензина и дизельного топлива для нужд Учреждения не установлена приказом «Об учетной политике Учреждения».</w:t>
      </w:r>
    </w:p>
    <w:p w:rsidR="00F660F7" w:rsidRDefault="00696DBB">
      <w:pPr>
        <w:pStyle w:val="Standard"/>
        <w:tabs>
          <w:tab w:val="left" w:pos="1605"/>
        </w:tabs>
        <w:ind w:firstLine="709"/>
        <w:jc w:val="both"/>
      </w:pPr>
      <w:r>
        <w:rPr>
          <w:rFonts w:ascii="Times New Roman" w:eastAsia="F" w:hAnsi="Times New Roman" w:cs="Times New Roman"/>
          <w:spacing w:val="-5"/>
          <w:w w:val="103"/>
        </w:rPr>
        <w:t>21. В нарушение статьи 48 ТК РФ Учреждение и</w:t>
      </w:r>
      <w:r>
        <w:rPr>
          <w:rFonts w:ascii="Times New Roman" w:eastAsia="F" w:hAnsi="Times New Roman" w:cs="Times New Roman"/>
          <w:spacing w:val="-5"/>
          <w:w w:val="103"/>
        </w:rPr>
        <w:t>спользовало в 2022 году недействительный коллективный договор (действие коллективного договора распространяется на отношения, возникшие в декабре 2015 года на срок не более трёх лет).</w:t>
      </w:r>
    </w:p>
    <w:p w:rsidR="00F660F7" w:rsidRDefault="00696DBB">
      <w:pPr>
        <w:pStyle w:val="Standard"/>
        <w:tabs>
          <w:tab w:val="left" w:pos="1605"/>
        </w:tabs>
        <w:ind w:firstLine="709"/>
        <w:jc w:val="both"/>
      </w:pPr>
      <w:r>
        <w:rPr>
          <w:rFonts w:ascii="Times New Roman" w:eastAsia="NSimSun" w:hAnsi="Times New Roman" w:cs="Times New Roman"/>
          <w:color w:val="000000"/>
          <w:spacing w:val="-5"/>
          <w:w w:val="103"/>
          <w:lang w:val="ru-RU" w:eastAsia="ru-RU"/>
        </w:rPr>
        <w:t>22. Имеются случаи отсутствия подписей работниках  в тарификационных спи</w:t>
      </w:r>
      <w:r>
        <w:rPr>
          <w:rFonts w:ascii="Times New Roman" w:eastAsia="NSimSun" w:hAnsi="Times New Roman" w:cs="Times New Roman"/>
          <w:color w:val="000000"/>
          <w:spacing w:val="-5"/>
          <w:w w:val="103"/>
          <w:lang w:val="ru-RU" w:eastAsia="ru-RU"/>
        </w:rPr>
        <w:t>сках.</w:t>
      </w:r>
    </w:p>
    <w:p w:rsidR="00F660F7" w:rsidRDefault="00696DBB">
      <w:pPr>
        <w:pStyle w:val="Standard"/>
        <w:tabs>
          <w:tab w:val="left" w:pos="1605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lang w:val="ru-RU" w:eastAsia="ru-RU"/>
        </w:rPr>
        <w:t xml:space="preserve"> 23. </w:t>
      </w:r>
      <w:r>
        <w:rPr>
          <w:rFonts w:ascii="Times New Roman" w:eastAsia="NSimSun" w:hAnsi="Times New Roman" w:cs="Times New Roman"/>
          <w:color w:val="000000"/>
          <w:spacing w:val="-5"/>
          <w:w w:val="103"/>
          <w:lang w:val="ru-RU" w:eastAsia="ru-RU"/>
        </w:rPr>
        <w:t xml:space="preserve"> Приказы составлены без учета норм и правил делопроизводства и содерж</w:t>
      </w:r>
      <w:r>
        <w:rPr>
          <w:rFonts w:ascii="Times New Roman" w:eastAsia="NSimSun" w:hAnsi="Times New Roman" w:cs="Times New Roman"/>
          <w:color w:val="000000"/>
          <w:spacing w:val="-5"/>
          <w:w w:val="103"/>
          <w:lang w:val="ru-RU" w:eastAsia="ru-RU"/>
        </w:rPr>
        <w:t xml:space="preserve">ат технические ошибки, которые носят системный характер. Практически все </w:t>
      </w:r>
      <w:r>
        <w:rPr>
          <w:rFonts w:ascii="Times New Roman" w:eastAsia="NSimSun" w:hAnsi="Times New Roman" w:cs="Times New Roman"/>
          <w:color w:val="000000"/>
          <w:w w:val="103"/>
          <w:lang w:val="ru-RU" w:eastAsia="ru-RU"/>
        </w:rPr>
        <w:t>приказы не доводятся до сотрудников Учреждения,  нет ознакомительной подписи сотрудников  в при</w:t>
      </w:r>
      <w:r>
        <w:rPr>
          <w:rFonts w:ascii="Times New Roman" w:eastAsia="NSimSun" w:hAnsi="Times New Roman" w:cs="Times New Roman"/>
          <w:color w:val="000000"/>
          <w:w w:val="103"/>
          <w:lang w:val="ru-RU" w:eastAsia="ru-RU"/>
        </w:rPr>
        <w:t>казах, нарушение носит системный характер.</w:t>
      </w:r>
    </w:p>
    <w:p w:rsidR="00F660F7" w:rsidRDefault="00696DBB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24. </w:t>
      </w:r>
      <w:r>
        <w:rPr>
          <w:rFonts w:ascii="Times New Roman" w:eastAsia="F" w:hAnsi="Times New Roman" w:cs="Times New Roman"/>
          <w:spacing w:val="-5"/>
          <w:w w:val="103"/>
        </w:rPr>
        <w:t xml:space="preserve">В нарушение абзаца 2 пункта 4.3 Примерного отраслевого положения, Положения об оплате труда работников МБОУ </w:t>
      </w:r>
      <w:r>
        <w:rPr>
          <w:rFonts w:ascii="Times New Roman" w:eastAsia="F" w:hAnsi="Times New Roman" w:cs="Times New Roman"/>
          <w:spacing w:val="-5"/>
          <w:w w:val="103"/>
        </w:rPr>
        <w:t>«Верхнеуфтюгская средняя  школа им. Д.И. Плакидина» Григорчук И.И. неправомерно начислена премиальная выплата по итогам работы на основании приказов директора  за ноябрь и декабрь 2022 года, должность Учитель относится к основному персоналу, следовательно,</w:t>
      </w:r>
      <w:r>
        <w:rPr>
          <w:rFonts w:ascii="Times New Roman" w:eastAsia="F" w:hAnsi="Times New Roman" w:cs="Times New Roman"/>
          <w:spacing w:val="-5"/>
          <w:w w:val="103"/>
        </w:rPr>
        <w:t xml:space="preserve"> работник не имеет права на получение данного вида выплат. Сумма не правомерных выплат составила в сумме 16490,00 руб. (с учетом отчислений 21469,98 руб.)</w:t>
      </w:r>
    </w:p>
    <w:p w:rsidR="00F660F7" w:rsidRDefault="00696DBB">
      <w:pPr>
        <w:pStyle w:val="Standard"/>
        <w:tabs>
          <w:tab w:val="left" w:pos="1605"/>
        </w:tabs>
        <w:ind w:firstLine="709"/>
        <w:jc w:val="both"/>
      </w:pPr>
      <w:r>
        <w:rPr>
          <w:rFonts w:ascii="Times New Roman" w:eastAsia="F" w:hAnsi="Times New Roman" w:cs="Times New Roman"/>
          <w:spacing w:val="-5"/>
          <w:w w:val="103"/>
        </w:rPr>
        <w:t>25. В нарушение абзаца 2 пункта 4.3 Примерного отраслевого положения, Положения об оплате труда рабо</w:t>
      </w:r>
      <w:r>
        <w:rPr>
          <w:rFonts w:ascii="Times New Roman" w:eastAsia="F" w:hAnsi="Times New Roman" w:cs="Times New Roman"/>
          <w:spacing w:val="-5"/>
          <w:w w:val="103"/>
        </w:rPr>
        <w:t>тников МБОУ «Верхнеуфтюгская средняя  школа им. Д.И. Плакидина» Михайловой О.П. неправомерно начислена премиальная выплата по итогам работы на основании приказов директора  за март и декабрь 2022 года, должность воспитатель относится к основному персоналу,</w:t>
      </w:r>
      <w:r>
        <w:rPr>
          <w:rFonts w:ascii="Times New Roman" w:eastAsia="F" w:hAnsi="Times New Roman" w:cs="Times New Roman"/>
          <w:spacing w:val="-5"/>
          <w:w w:val="103"/>
        </w:rPr>
        <w:t xml:space="preserve"> следовательно, работник не имеет права на получение данного вида выплат. Сумма неправомерных выплат составила  10527,84 руб. (с учетом отчислений 13707,25 руб.)</w:t>
      </w:r>
    </w:p>
    <w:p w:rsidR="00F660F7" w:rsidRDefault="00696DBB">
      <w:pPr>
        <w:pStyle w:val="Standard"/>
        <w:tabs>
          <w:tab w:val="left" w:pos="284"/>
          <w:tab w:val="left" w:pos="720"/>
        </w:tabs>
        <w:ind w:firstLine="709"/>
        <w:jc w:val="both"/>
      </w:pPr>
      <w:r>
        <w:rPr>
          <w:rFonts w:ascii="Times New Roman" w:eastAsia="F" w:hAnsi="Times New Roman" w:cs="F"/>
        </w:rPr>
        <w:t>По результатам проверки установлено финансовых нарушений на сумму 1465120,20 руб., в том числ</w:t>
      </w:r>
      <w:r>
        <w:rPr>
          <w:rFonts w:ascii="Times New Roman" w:eastAsia="F" w:hAnsi="Times New Roman" w:cs="F"/>
        </w:rPr>
        <w:t>е:</w:t>
      </w:r>
    </w:p>
    <w:p w:rsidR="00F660F7" w:rsidRDefault="00696DBB">
      <w:pPr>
        <w:pStyle w:val="Standard"/>
        <w:ind w:firstLine="709"/>
        <w:jc w:val="both"/>
      </w:pPr>
      <w:r>
        <w:rPr>
          <w:rFonts w:ascii="Times New Roman" w:eastAsia="F" w:hAnsi="Times New Roman" w:cs="F"/>
        </w:rPr>
        <w:t>-неправомерные  расходы 435983,80 руб.;</w:t>
      </w:r>
    </w:p>
    <w:p w:rsidR="00F660F7" w:rsidRDefault="00696DBB">
      <w:pPr>
        <w:pStyle w:val="Standard"/>
        <w:tabs>
          <w:tab w:val="left" w:pos="1605"/>
        </w:tabs>
        <w:spacing w:line="100" w:lineRule="atLeast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lang w:eastAsia="ru-RU"/>
        </w:rPr>
        <w:t>-неэффективное расходование бюджетных средств 20728,37 руб.;</w:t>
      </w:r>
    </w:p>
    <w:p w:rsidR="00F660F7" w:rsidRDefault="00696DBB">
      <w:pPr>
        <w:pStyle w:val="Standard"/>
        <w:tabs>
          <w:tab w:val="left" w:pos="1605"/>
        </w:tabs>
        <w:spacing w:line="100" w:lineRule="atLeast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lang w:eastAsia="ru-RU"/>
        </w:rPr>
        <w:t>-</w:t>
      </w:r>
      <w:r>
        <w:rPr>
          <w:rFonts w:ascii="Times New Roman" w:eastAsia="Calibri" w:hAnsi="Times New Roman" w:cs="Times New Roman"/>
          <w:lang w:val="ru-RU" w:eastAsia="ru-RU"/>
        </w:rPr>
        <w:t>необоснованные расходы 204362,02 руб.;</w:t>
      </w:r>
    </w:p>
    <w:p w:rsidR="00F660F7" w:rsidRDefault="00696DBB">
      <w:pPr>
        <w:pStyle w:val="Standard"/>
        <w:tabs>
          <w:tab w:val="left" w:pos="1605"/>
        </w:tabs>
        <w:spacing w:line="100" w:lineRule="atLeast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lang w:val="ru-RU" w:eastAsia="ru-RU"/>
        </w:rPr>
        <w:t>-искажение данных бухгалтерского учета 800354,03 руб.;</w:t>
      </w:r>
    </w:p>
    <w:p w:rsidR="00F660F7" w:rsidRDefault="00696DBB">
      <w:pPr>
        <w:pStyle w:val="Standard"/>
        <w:tabs>
          <w:tab w:val="left" w:pos="1605"/>
        </w:tabs>
        <w:spacing w:line="100" w:lineRule="atLeast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lang w:val="ru-RU" w:eastAsia="ru-RU"/>
        </w:rPr>
        <w:t>-переплата 3691,98 руб.</w:t>
      </w:r>
    </w:p>
    <w:p w:rsidR="00F660F7" w:rsidRDefault="00696DBB">
      <w:pPr>
        <w:pStyle w:val="Standard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Меры, принятые по результатам ко</w:t>
      </w:r>
      <w:r>
        <w:rPr>
          <w:rFonts w:ascii="Times New Roman" w:hAnsi="Times New Roman"/>
          <w:b/>
          <w:bCs/>
          <w:color w:val="000000"/>
        </w:rPr>
        <w:t>нтрольного мероприятия:</w:t>
      </w:r>
    </w:p>
    <w:p w:rsidR="00F660F7" w:rsidRDefault="00696DBB">
      <w:pPr>
        <w:pStyle w:val="Standard"/>
        <w:ind w:firstLine="6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lang w:val="ru-RU"/>
        </w:rPr>
        <w:t xml:space="preserve"> В </w:t>
      </w:r>
      <w:r>
        <w:rPr>
          <w:rFonts w:ascii="Times New Roman" w:hAnsi="Times New Roman"/>
          <w:color w:val="000000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 w:rsidR="00F660F7" w:rsidRDefault="00696DBB">
      <w:pPr>
        <w:pStyle w:val="Standard"/>
        <w:tabs>
          <w:tab w:val="left" w:pos="1605"/>
        </w:tabs>
        <w:spacing w:line="100" w:lineRule="atLeast"/>
        <w:ind w:firstLine="624"/>
        <w:jc w:val="both"/>
        <w:textAlignment w:val="auto"/>
        <w:rPr>
          <w:rFonts w:ascii="Times New Roman" w:hAnsi="Times New Roman"/>
          <w:color w:val="000000"/>
        </w:rPr>
      </w:pPr>
      <w:r>
        <w:rPr>
          <w:rStyle w:val="a5"/>
          <w:rFonts w:eastAsia="Calibri" w:cs="Times New Roman"/>
          <w:i w:val="0"/>
          <w:lang w:val="ru-RU" w:eastAsia="ru-RU"/>
        </w:rPr>
        <w:t>2.   Информация о результа</w:t>
      </w:r>
      <w:r>
        <w:rPr>
          <w:rStyle w:val="a5"/>
          <w:rFonts w:eastAsia="Calibri" w:cs="Times New Roman"/>
          <w:i w:val="0"/>
          <w:lang w:val="ru-RU" w:eastAsia="ru-RU"/>
        </w:rPr>
        <w:t xml:space="preserve">тах контрольного мероприятия направлена </w:t>
      </w:r>
      <w:r>
        <w:rPr>
          <w:rStyle w:val="a5"/>
          <w:rFonts w:eastAsia="Calibri" w:cs="Times New Roman"/>
          <w:i w:val="0"/>
          <w:iCs w:val="0"/>
          <w:lang w:val="ru-RU" w:eastAsia="ru-RU"/>
        </w:rPr>
        <w:t>временно исполняющему обязанности г</w:t>
      </w:r>
      <w:r>
        <w:rPr>
          <w:rStyle w:val="a5"/>
          <w:rFonts w:eastAsia="Calibri" w:cs="Times New Roman"/>
          <w:i w:val="0"/>
          <w:lang w:val="ru-RU" w:eastAsia="ru-RU"/>
        </w:rPr>
        <w:t>лавы</w:t>
      </w:r>
      <w:r>
        <w:rPr>
          <w:rStyle w:val="a5"/>
          <w:rFonts w:eastAsia="Calibri" w:cs="Times New Roman"/>
          <w:i w:val="0"/>
          <w:lang w:val="ru-RU" w:eastAsia="ru-RU"/>
        </w:rPr>
        <w:t xml:space="preserve"> </w:t>
      </w:r>
      <w:r>
        <w:rPr>
          <w:rStyle w:val="a5"/>
          <w:rFonts w:eastAsia="Calibri" w:cs="Times New Roman"/>
          <w:i w:val="0"/>
          <w:lang w:val="ru-RU" w:eastAsia="ru-RU"/>
        </w:rPr>
        <w:t>МО «Красноборский муниципальный район»</w:t>
      </w:r>
      <w:r>
        <w:rPr>
          <w:rStyle w:val="a5"/>
          <w:rFonts w:eastAsia="Calibri" w:cs="Times New Roman"/>
          <w:i w:val="0"/>
          <w:lang w:val="ru-RU" w:eastAsia="ru-RU"/>
        </w:rPr>
        <w:t xml:space="preserve"> и в Собрание депутатов </w:t>
      </w:r>
      <w:r>
        <w:rPr>
          <w:rStyle w:val="a5"/>
          <w:rFonts w:eastAsia="Calibri" w:cs="Times New Roman"/>
          <w:i w:val="0"/>
          <w:iCs w:val="0"/>
          <w:lang w:val="ru-RU" w:eastAsia="ru-RU"/>
        </w:rPr>
        <w:t>МО «Красноборский муниципальный район».</w:t>
      </w:r>
    </w:p>
    <w:p w:rsidR="00F660F7" w:rsidRDefault="00F660F7">
      <w:pPr>
        <w:pStyle w:val="Standard"/>
        <w:rPr>
          <w:rFonts w:ascii="Times New Roman" w:eastAsia="F" w:hAnsi="Times New Roman" w:cs="F"/>
        </w:rPr>
      </w:pPr>
    </w:p>
    <w:p w:rsidR="00F660F7" w:rsidRDefault="00F660F7">
      <w:pPr>
        <w:pStyle w:val="Standard"/>
      </w:pPr>
    </w:p>
    <w:p w:rsidR="00F660F7" w:rsidRDefault="00F660F7">
      <w:pPr>
        <w:pStyle w:val="Standard"/>
        <w:jc w:val="both"/>
      </w:pPr>
    </w:p>
    <w:p w:rsidR="00F660F7" w:rsidRDefault="00F660F7">
      <w:pPr>
        <w:pStyle w:val="Standard"/>
      </w:pPr>
    </w:p>
    <w:p w:rsidR="00F660F7" w:rsidRDefault="00F660F7">
      <w:pPr>
        <w:pStyle w:val="Standard"/>
        <w:spacing w:after="200" w:line="276" w:lineRule="auto"/>
      </w:pPr>
    </w:p>
    <w:sectPr w:rsidR="00F660F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6DBB">
      <w:r>
        <w:separator/>
      </w:r>
    </w:p>
  </w:endnote>
  <w:endnote w:type="continuationSeparator" w:id="0">
    <w:p w:rsidR="00000000" w:rsidRDefault="006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6DBB">
      <w:r>
        <w:rPr>
          <w:color w:val="000000"/>
        </w:rPr>
        <w:separator/>
      </w:r>
    </w:p>
  </w:footnote>
  <w:footnote w:type="continuationSeparator" w:id="0">
    <w:p w:rsidR="00000000" w:rsidRDefault="006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62A"/>
    <w:multiLevelType w:val="multilevel"/>
    <w:tmpl w:val="5E36ABDC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1" w15:restartNumberingAfterBreak="0">
    <w:nsid w:val="13363176"/>
    <w:multiLevelType w:val="multilevel"/>
    <w:tmpl w:val="6CAA1EA6"/>
    <w:styleLink w:val="WWNum1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2" w15:restartNumberingAfterBreak="0">
    <w:nsid w:val="13863A8A"/>
    <w:multiLevelType w:val="multilevel"/>
    <w:tmpl w:val="E5E2A2C8"/>
    <w:styleLink w:val="WWNum6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b w:val="0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3" w15:restartNumberingAfterBreak="0">
    <w:nsid w:val="2AE66911"/>
    <w:multiLevelType w:val="multilevel"/>
    <w:tmpl w:val="F0DCA9A2"/>
    <w:styleLink w:val="WWNum7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b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4" w15:restartNumberingAfterBreak="0">
    <w:nsid w:val="4BBA53F0"/>
    <w:multiLevelType w:val="multilevel"/>
    <w:tmpl w:val="D2186046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b w:val="0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5" w15:restartNumberingAfterBreak="0">
    <w:nsid w:val="58CF3B4F"/>
    <w:multiLevelType w:val="multilevel"/>
    <w:tmpl w:val="29200B1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39B0F5F"/>
    <w:multiLevelType w:val="multilevel"/>
    <w:tmpl w:val="E2E6341A"/>
    <w:styleLink w:val="WWNum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0F7"/>
    <w:rsid w:val="00696DBB"/>
    <w:rsid w:val="00F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0570B-675F-4050-BF95-55D189F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  <w:kern w:val="0"/>
      <w:sz w:val="20"/>
      <w:szCs w:val="20"/>
      <w:lang w:val="ru-RU" w:eastAsia="ru-RU" w:bidi="ar-SA"/>
    </w:rPr>
  </w:style>
  <w:style w:type="paragraph" w:customStyle="1" w:styleId="ConsPlusNonformat">
    <w:name w:val="ConsPlusNonformat"/>
    <w:pPr>
      <w:overflowPunct w:val="0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930">
    <w:name w:val="ListLabel 930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ListLabel967">
    <w:name w:val="ListLabel 967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4"/>
      <w:szCs w:val="24"/>
      <w:u w:val="none"/>
      <w:lang w:val="en-US"/>
    </w:rPr>
  </w:style>
  <w:style w:type="character" w:customStyle="1" w:styleId="ListLabel931">
    <w:name w:val="ListLabel 931"/>
    <w:rPr>
      <w:rFonts w:ascii="Times New Roman" w:eastAsia="Times New Roman" w:hAnsi="Times New Roman" w:cs="OpenSymbol"/>
      <w:sz w:val="24"/>
    </w:rPr>
  </w:style>
  <w:style w:type="character" w:customStyle="1" w:styleId="ListLabel932">
    <w:name w:val="ListLabel 932"/>
    <w:rPr>
      <w:rFonts w:cs="OpenSymbol"/>
    </w:rPr>
  </w:style>
  <w:style w:type="character" w:customStyle="1" w:styleId="ListLabel933">
    <w:name w:val="ListLabel 933"/>
    <w:rPr>
      <w:rFonts w:cs="OpenSymbol"/>
    </w:rPr>
  </w:style>
  <w:style w:type="character" w:customStyle="1" w:styleId="ListLabel934">
    <w:name w:val="ListLabel 934"/>
    <w:rPr>
      <w:rFonts w:cs="OpenSymbol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</w:rPr>
  </w:style>
  <w:style w:type="character" w:customStyle="1" w:styleId="ListLabel937">
    <w:name w:val="ListLabel 937"/>
    <w:rPr>
      <w:rFonts w:cs="OpenSymbol"/>
    </w:rPr>
  </w:style>
  <w:style w:type="character" w:customStyle="1" w:styleId="ListLabel938">
    <w:name w:val="ListLabel 938"/>
    <w:rPr>
      <w:rFonts w:cs="OpenSymbol"/>
    </w:rPr>
  </w:style>
  <w:style w:type="character" w:customStyle="1" w:styleId="ListLabel939">
    <w:name w:val="ListLabel 939"/>
    <w:rPr>
      <w:rFonts w:cs="OpenSymbol"/>
    </w:rPr>
  </w:style>
  <w:style w:type="character" w:customStyle="1" w:styleId="ListLabel940">
    <w:name w:val="ListLabel 940"/>
    <w:rPr>
      <w:rFonts w:ascii="Times New Roman" w:eastAsia="Times New Roman" w:hAnsi="Times New Roman" w:cs="OpenSymbol"/>
      <w:b w:val="0"/>
      <w:sz w:val="24"/>
    </w:rPr>
  </w:style>
  <w:style w:type="character" w:customStyle="1" w:styleId="ListLabel941">
    <w:name w:val="ListLabel 941"/>
    <w:rPr>
      <w:rFonts w:cs="OpenSymbol"/>
    </w:rPr>
  </w:style>
  <w:style w:type="character" w:customStyle="1" w:styleId="ListLabel942">
    <w:name w:val="ListLabel 942"/>
    <w:rPr>
      <w:rFonts w:cs="OpenSymbol"/>
    </w:rPr>
  </w:style>
  <w:style w:type="character" w:customStyle="1" w:styleId="ListLabel943">
    <w:name w:val="ListLabel 943"/>
    <w:rPr>
      <w:rFonts w:cs="OpenSymbol"/>
    </w:rPr>
  </w:style>
  <w:style w:type="character" w:customStyle="1" w:styleId="ListLabel944">
    <w:name w:val="ListLabel 944"/>
    <w:rPr>
      <w:rFonts w:cs="OpenSymbol"/>
    </w:rPr>
  </w:style>
  <w:style w:type="character" w:customStyle="1" w:styleId="ListLabel945">
    <w:name w:val="ListLabel 945"/>
    <w:rPr>
      <w:rFonts w:cs="OpenSymbol"/>
    </w:rPr>
  </w:style>
  <w:style w:type="character" w:customStyle="1" w:styleId="ListLabel946">
    <w:name w:val="ListLabel 946"/>
    <w:rPr>
      <w:rFonts w:cs="OpenSymbol"/>
    </w:rPr>
  </w:style>
  <w:style w:type="character" w:customStyle="1" w:styleId="ListLabel947">
    <w:name w:val="ListLabel 947"/>
    <w:rPr>
      <w:rFonts w:cs="OpenSymbol"/>
    </w:rPr>
  </w:style>
  <w:style w:type="character" w:customStyle="1" w:styleId="ListLabel948">
    <w:name w:val="ListLabel 948"/>
    <w:rPr>
      <w:rFonts w:cs="OpenSymbol"/>
    </w:rPr>
  </w:style>
  <w:style w:type="character" w:customStyle="1" w:styleId="ListLabel968">
    <w:name w:val="ListLabel 968"/>
    <w:rPr>
      <w:rFonts w:ascii="Times New Roman" w:eastAsia="Times New Roman" w:hAnsi="Times New Roman" w:cs="Times New Roman"/>
      <w:b w:val="0"/>
      <w:bCs w:val="0"/>
      <w:i w:val="0"/>
      <w:caps w:val="0"/>
      <w:smallCaps w:val="0"/>
      <w:color w:val="0000FF"/>
      <w:spacing w:val="0"/>
      <w:sz w:val="24"/>
      <w:szCs w:val="24"/>
      <w:lang w:eastAsia="ru-RU"/>
    </w:rPr>
  </w:style>
  <w:style w:type="character" w:customStyle="1" w:styleId="ListLabel969">
    <w:name w:val="ListLabel 969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spacing w:val="-2"/>
      <w:sz w:val="24"/>
      <w:szCs w:val="24"/>
      <w:u w:val="none"/>
    </w:rPr>
  </w:style>
  <w:style w:type="character" w:customStyle="1" w:styleId="ListLabel8">
    <w:name w:val="ListLabel 8"/>
    <w:rPr>
      <w:rFonts w:cs="OpenSymbol"/>
    </w:rPr>
  </w:style>
  <w:style w:type="character" w:customStyle="1" w:styleId="ListLabel970">
    <w:name w:val="ListLabel 970"/>
    <w:rPr>
      <w:rFonts w:ascii="Times New Roman" w:eastAsia="F" w:hAnsi="Times New Roman" w:cs="Times New Roman"/>
      <w:color w:val="000000"/>
      <w:sz w:val="24"/>
      <w:szCs w:val="24"/>
      <w:u w:val="none"/>
    </w:rPr>
  </w:style>
  <w:style w:type="character" w:customStyle="1" w:styleId="ListLabel971">
    <w:name w:val="ListLabel 971"/>
    <w:rPr>
      <w:rFonts w:ascii="Times New Roman" w:eastAsia="F" w:hAnsi="Times New Roman" w:cs="F"/>
      <w:b w:val="0"/>
      <w:i w:val="0"/>
      <w:caps w:val="0"/>
      <w:smallCaps w:val="0"/>
      <w:color w:val="000000"/>
      <w:spacing w:val="0"/>
      <w:sz w:val="24"/>
      <w:szCs w:val="24"/>
      <w:u w:val="single"/>
    </w:rPr>
  </w:style>
  <w:style w:type="character" w:customStyle="1" w:styleId="ListLabel972">
    <w:name w:val="ListLabel 972"/>
    <w:rPr>
      <w:rFonts w:ascii="Times New Roman" w:eastAsia="F" w:hAnsi="Times New Roman" w:cs="F"/>
      <w:b w:val="0"/>
      <w:i w:val="0"/>
      <w:caps w:val="0"/>
      <w:smallCaps w:val="0"/>
      <w:color w:val="000000"/>
      <w:spacing w:val="0"/>
      <w:sz w:val="24"/>
      <w:szCs w:val="24"/>
      <w:u w:val="none"/>
    </w:rPr>
  </w:style>
  <w:style w:type="character" w:customStyle="1" w:styleId="ListLabel973">
    <w:name w:val="ListLabel 973"/>
    <w:rPr>
      <w:rFonts w:ascii="Times New Roman" w:eastAsia="F" w:hAnsi="Times New Roman" w:cs="F"/>
      <w:b/>
      <w:bCs/>
      <w:i w:val="0"/>
      <w:caps w:val="0"/>
      <w:smallCaps w:val="0"/>
      <w:color w:val="000000"/>
      <w:spacing w:val="0"/>
      <w:sz w:val="24"/>
      <w:szCs w:val="24"/>
      <w:u w:val="none"/>
    </w:rPr>
  </w:style>
  <w:style w:type="character" w:customStyle="1" w:styleId="ListLabel949">
    <w:name w:val="ListLabel 949"/>
    <w:rPr>
      <w:rFonts w:ascii="Times New Roman" w:eastAsia="Times New Roman" w:hAnsi="Times New Roman" w:cs="OpenSymbol"/>
      <w:b w:val="0"/>
      <w:sz w:val="24"/>
    </w:rPr>
  </w:style>
  <w:style w:type="character" w:customStyle="1" w:styleId="ListLabel950">
    <w:name w:val="ListLabel 950"/>
    <w:rPr>
      <w:rFonts w:cs="OpenSymbol"/>
    </w:rPr>
  </w:style>
  <w:style w:type="character" w:customStyle="1" w:styleId="ListLabel951">
    <w:name w:val="ListLabel 951"/>
    <w:rPr>
      <w:rFonts w:cs="OpenSymbol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character" w:customStyle="1" w:styleId="ListLabel955">
    <w:name w:val="ListLabel 955"/>
    <w:rPr>
      <w:rFonts w:cs="OpenSymbol"/>
    </w:rPr>
  </w:style>
  <w:style w:type="character" w:customStyle="1" w:styleId="ListLabel956">
    <w:name w:val="ListLabel 956"/>
    <w:rPr>
      <w:rFonts w:cs="OpenSymbol"/>
    </w:rPr>
  </w:style>
  <w:style w:type="character" w:customStyle="1" w:styleId="ListLabel957">
    <w:name w:val="ListLabel 957"/>
    <w:rPr>
      <w:rFonts w:cs="OpenSymbol"/>
    </w:rPr>
  </w:style>
  <w:style w:type="character" w:styleId="a5">
    <w:name w:val="Emphasis"/>
    <w:rPr>
      <w:i/>
      <w:iCs/>
    </w:rPr>
  </w:style>
  <w:style w:type="character" w:customStyle="1" w:styleId="ListLabel10">
    <w:name w:val="ListLabel 10"/>
    <w:rPr>
      <w:rFonts w:cs="OpenSymbol"/>
    </w:rPr>
  </w:style>
  <w:style w:type="character" w:customStyle="1" w:styleId="ListLabel974">
    <w:name w:val="ListLabel 974"/>
    <w:rPr>
      <w:rFonts w:ascii="Times New Roman" w:eastAsia="NSimSun" w:hAnsi="Times New Roman" w:cs="Times New Roman"/>
      <w:b/>
      <w:bCs/>
      <w:i w:val="0"/>
      <w:iCs w:val="0"/>
      <w:caps w:val="0"/>
      <w:smallCaps w:val="0"/>
      <w:strike w:val="0"/>
      <w:dstrike w:val="0"/>
      <w:outline w:val="0"/>
      <w:color w:val="000000"/>
      <w:spacing w:val="-5"/>
      <w:w w:val="103"/>
      <w:sz w:val="24"/>
      <w:szCs w:val="24"/>
      <w:u w:val="none"/>
      <w:em w:val="none"/>
      <w:lang w:val="ru-RU" w:eastAsia="ru-RU"/>
      <w14:shadow w14:blurRad="0" w14:dist="0" w14:dir="0" w14:sx="0" w14:sy="0" w14:kx="0" w14:ky="0" w14:algn="none">
        <w14:srgbClr w14:val="000000"/>
      </w14:shadow>
    </w:rPr>
  </w:style>
  <w:style w:type="character" w:customStyle="1" w:styleId="ListLabel975">
    <w:name w:val="ListLabel 975"/>
    <w:rPr>
      <w:rFonts w:ascii="Times New Roman" w:eastAsia="F" w:hAnsi="Times New Roman" w:cs="Times New Roman"/>
      <w:sz w:val="24"/>
      <w:szCs w:val="24"/>
    </w:rPr>
  </w:style>
  <w:style w:type="character" w:customStyle="1" w:styleId="ListLabel958">
    <w:name w:val="ListLabel 958"/>
    <w:rPr>
      <w:rFonts w:ascii="Times New Roman" w:eastAsia="Times New Roman" w:hAnsi="Times New Roman" w:cs="OpenSymbol"/>
      <w:b/>
      <w:sz w:val="24"/>
    </w:rPr>
  </w:style>
  <w:style w:type="character" w:customStyle="1" w:styleId="ListLabel959">
    <w:name w:val="ListLabel 959"/>
    <w:rPr>
      <w:rFonts w:cs="OpenSymbol"/>
    </w:rPr>
  </w:style>
  <w:style w:type="character" w:customStyle="1" w:styleId="ListLabel960">
    <w:name w:val="ListLabel 960"/>
    <w:rPr>
      <w:rFonts w:cs="OpenSymbol"/>
    </w:rPr>
  </w:style>
  <w:style w:type="character" w:customStyle="1" w:styleId="ListLabel961">
    <w:name w:val="ListLabel 961"/>
    <w:rPr>
      <w:rFonts w:cs="OpenSymbol"/>
    </w:rPr>
  </w:style>
  <w:style w:type="character" w:customStyle="1" w:styleId="ListLabel962">
    <w:name w:val="ListLabel 962"/>
    <w:rPr>
      <w:rFonts w:cs="OpenSymbol"/>
    </w:rPr>
  </w:style>
  <w:style w:type="character" w:customStyle="1" w:styleId="ListLabel963">
    <w:name w:val="ListLabel 963"/>
    <w:rPr>
      <w:rFonts w:cs="OpenSymbol"/>
    </w:rPr>
  </w:style>
  <w:style w:type="character" w:customStyle="1" w:styleId="ListLabel964">
    <w:name w:val="ListLabel 964"/>
    <w:rPr>
      <w:rFonts w:cs="OpenSymbol"/>
    </w:rPr>
  </w:style>
  <w:style w:type="character" w:customStyle="1" w:styleId="ListLabel965">
    <w:name w:val="ListLabel 965"/>
    <w:rPr>
      <w:rFonts w:cs="OpenSymbol"/>
    </w:rPr>
  </w:style>
  <w:style w:type="character" w:customStyle="1" w:styleId="ListLabel966">
    <w:name w:val="ListLabel 966"/>
    <w:rPr>
      <w:rFonts w:cs="OpenSymbol"/>
    </w:rPr>
  </w:style>
  <w:style w:type="character" w:customStyle="1" w:styleId="ListLabel976">
    <w:name w:val="ListLabel 976"/>
    <w:rPr>
      <w:rFonts w:ascii="Times New Roman" w:eastAsia="F" w:hAnsi="Times New Roman" w:cs="F"/>
      <w:b w:val="0"/>
      <w:bCs w:val="0"/>
      <w:sz w:val="24"/>
      <w:szCs w:val="24"/>
    </w:rPr>
  </w:style>
  <w:style w:type="character" w:styleId="a6">
    <w:name w:val="Strong"/>
    <w:basedOn w:val="a0"/>
    <w:rPr>
      <w:b/>
      <w:bCs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6580D21367565916F897F3153F8688F82815708E7A11CB8BA36357150EC374CF3C92F86746855y0o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76580D21367565916F897F3153F8688F82815708E7A11CB8BA36357150EC374CF3C92F86746855y0o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2024-07-11T08:32:00Z</dcterms:created>
  <dcterms:modified xsi:type="dcterms:W3CDTF">2024-07-11T08:32:00Z</dcterms:modified>
</cp:coreProperties>
</file>