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F41099">
        <w:t>02.03</w:t>
      </w:r>
      <w:r w:rsidR="00B77B16" w:rsidRPr="00B77B16">
        <w:t>.202</w:t>
      </w:r>
      <w:r w:rsidR="00F41099">
        <w:t>1</w:t>
      </w:r>
      <w:r w:rsidR="00B77B16" w:rsidRPr="00B77B16">
        <w:t xml:space="preserve"> года № </w:t>
      </w:r>
      <w:r w:rsidR="00F41099">
        <w:t>184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</w:t>
            </w:r>
            <w:r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proofErr w:type="gramStart"/>
            <w:r>
              <w:lastRenderedPageBreak/>
              <w:t xml:space="preserve">Создание условий для эффективного развития муниципальной  системы </w:t>
            </w:r>
            <w:r>
              <w:lastRenderedPageBreak/>
              <w:t>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  <w:proofErr w:type="gramEnd"/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 xml:space="preserve">Повышение </w:t>
            </w:r>
            <w:proofErr w:type="gramStart"/>
            <w:r w:rsidRPr="00E23AB8">
              <w:t>эффективности организации обеспечения деятельно</w:t>
            </w:r>
            <w:r>
              <w:t>сти подведомственных учреждений</w:t>
            </w:r>
            <w:proofErr w:type="gramEnd"/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D2684">
            <w:pPr>
              <w:jc w:val="both"/>
              <w:rPr>
                <w:bCs/>
              </w:rPr>
            </w:pPr>
            <w:proofErr w:type="gramStart"/>
            <w:r w:rsidRPr="000D2684">
              <w:t xml:space="preserve">Общий объем финансирования -  </w:t>
            </w:r>
            <w:r w:rsidR="00F41099" w:rsidRPr="00F41099">
              <w:t>1397833,03</w:t>
            </w:r>
            <w:r w:rsidRPr="000D2684">
              <w:t xml:space="preserve">  тыс. рублей, в том числе средства бюджета муниципального района -  </w:t>
            </w:r>
            <w:r w:rsidR="00F41099" w:rsidRPr="00F41099">
              <w:t>523993,9</w:t>
            </w:r>
            <w:r w:rsidR="00F41099">
              <w:t xml:space="preserve"> </w:t>
            </w:r>
            <w:r w:rsidRPr="000D2684">
              <w:t xml:space="preserve">тыс. рублей, областной бюджет – </w:t>
            </w:r>
            <w:r w:rsidR="00F41099">
              <w:t>824267,2</w:t>
            </w:r>
            <w:r w:rsidRPr="000D2684">
              <w:t xml:space="preserve">  тыс. рублей, внебюджетные источники -  1400,0 тыс. рублей, федеральный бюджет -  </w:t>
            </w:r>
            <w:r w:rsidR="00F41099">
              <w:t>48171,9</w:t>
            </w:r>
            <w:r w:rsidRPr="000D2684">
              <w:t xml:space="preserve">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  <w:proofErr w:type="gramEnd"/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155"/>
              <w:gridCol w:w="1236"/>
              <w:gridCol w:w="1134"/>
            </w:tblGrid>
            <w:tr w:rsidR="00F24EBD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4109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Default="00F41099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1397833,03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474129,7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448875,9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474827,4</w:t>
                  </w:r>
                </w:p>
              </w:tc>
            </w:tr>
            <w:tr w:rsidR="00F4109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Default="00F41099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824267,2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290927,1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261879,5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271460,6</w:t>
                  </w:r>
                </w:p>
              </w:tc>
            </w:tr>
            <w:tr w:rsidR="00F4109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Default="00F41099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523993,9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172329,2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168076,7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183588,0</w:t>
                  </w:r>
                </w:p>
              </w:tc>
            </w:tr>
            <w:tr w:rsidR="00F4109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Default="00F41099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1400,0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</w:tr>
            <w:tr w:rsidR="00F4109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Default="00F41099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48171,9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9473,4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18919,7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19778,8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proofErr w:type="gramStart"/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</w:t>
      </w:r>
      <w:proofErr w:type="gramEnd"/>
      <w:r>
        <w:t xml:space="preserve">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Характеристика сферы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532"/>
        <w:gridCol w:w="732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системы дошкольного и общего образования с 2020 по 2022 годы" (далее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  <w:proofErr w:type="gramEnd"/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 xml:space="preserve">5. Организация воспитания и социализации </w:t>
            </w:r>
            <w:proofErr w:type="gramStart"/>
            <w:r>
              <w:t>обучающихся</w:t>
            </w:r>
            <w:proofErr w:type="gramEnd"/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процент);</w:t>
            </w:r>
          </w:p>
          <w:p w:rsidR="00F24EBD" w:rsidRDefault="00D579A4">
            <w:pPr>
              <w:pStyle w:val="af5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  <w:proofErr w:type="gramEnd"/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096" w:type="dxa"/>
              <w:tblLook w:val="04A0"/>
            </w:tblPr>
            <w:tblGrid>
              <w:gridCol w:w="1790"/>
              <w:gridCol w:w="1838"/>
              <w:gridCol w:w="1116"/>
              <w:gridCol w:w="1236"/>
              <w:gridCol w:w="1116"/>
            </w:tblGrid>
            <w:tr w:rsidR="00F24EBD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27DF4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27DF4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F4109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927DF4" w:rsidRDefault="00F4109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1221337,8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398569,9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403756,2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419011,7</w:t>
                  </w:r>
                </w:p>
              </w:tc>
            </w:tr>
            <w:tr w:rsidR="00F4109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927DF4" w:rsidRDefault="00F4109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693483,1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233539,1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228208,1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231735,9</w:t>
                  </w:r>
                </w:p>
              </w:tc>
            </w:tr>
            <w:tr w:rsidR="00F4109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927DF4" w:rsidRDefault="00F4109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479376,8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155251,4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156628,4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167497,0</w:t>
                  </w:r>
                </w:p>
              </w:tc>
            </w:tr>
            <w:tr w:rsidR="00F4109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Default="00F41099" w:rsidP="000040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  <w:p w:rsidR="00F41099" w:rsidRPr="00927DF4" w:rsidRDefault="00F4109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47077,9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8379,4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jc w:val="center"/>
                  </w:pPr>
                  <w:r w:rsidRPr="00F41099">
                    <w:t>18919,7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19778,8</w:t>
                  </w:r>
                </w:p>
              </w:tc>
            </w:tr>
            <w:tr w:rsidR="00F4109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927DF4" w:rsidRDefault="00F4109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proofErr w:type="gramStart"/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  <w:proofErr w:type="gramEnd"/>
    </w:p>
    <w:p w:rsidR="00F24EBD" w:rsidRDefault="00D579A4" w:rsidP="005C4EFE">
      <w:pPr>
        <w:ind w:firstLine="851"/>
        <w:jc w:val="both"/>
      </w:pPr>
      <w:proofErr w:type="gramStart"/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</w:t>
      </w:r>
      <w:proofErr w:type="gramEnd"/>
      <w:r>
        <w:t xml:space="preserve">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</w:t>
      </w:r>
      <w:proofErr w:type="gramStart"/>
      <w:r w:rsidRPr="00E40AC5">
        <w:rPr>
          <w:b/>
        </w:rPr>
        <w:t xml:space="preserve"> ,</w:t>
      </w:r>
      <w:proofErr w:type="gramEnd"/>
      <w:r w:rsidRPr="00E40AC5">
        <w:rPr>
          <w:b/>
        </w:rPr>
        <w:t xml:space="preserve">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</w:t>
      </w:r>
      <w:proofErr w:type="gramStart"/>
      <w:r w:rsidR="00D76FE3">
        <w:t>,с</w:t>
      </w:r>
      <w:proofErr w:type="gramEnd"/>
      <w:r w:rsidR="00D76FE3">
        <w:t>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proofErr w:type="gramStart"/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DD426C">
        <w:rPr>
          <w:rFonts w:ascii="Times New Roman" w:hAnsi="Times New Roman" w:cs="Times New Roman"/>
          <w:b w:val="0"/>
          <w:sz w:val="24"/>
          <w:szCs w:val="24"/>
        </w:rPr>
        <w:t xml:space="preserve">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proofErr w:type="gramEnd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proofErr w:type="gramEnd"/>
      <w:r>
        <w:rPr>
          <w:rFonts w:ascii="Times New Roman" w:hAnsi="Times New Roman"/>
          <w:sz w:val="24"/>
          <w:szCs w:val="24"/>
        </w:rPr>
        <w:t xml:space="preserve">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  <w:proofErr w:type="gramEnd"/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proofErr w:type="gram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</w:t>
      </w:r>
      <w:proofErr w:type="spellStart"/>
      <w:r w:rsidRPr="001B7632">
        <w:rPr>
          <w:rFonts w:ascii="Times New Roman" w:hAnsi="Times New Roman"/>
          <w:sz w:val="24"/>
          <w:szCs w:val="24"/>
        </w:rPr>
        <w:t>рп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«О выделении средств из резервного фонда Правительства Архангельской области министерству образования и науки Архангельской области (для бюджетов </w:t>
      </w:r>
      <w:proofErr w:type="spellStart"/>
      <w:r w:rsidRPr="001B7632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 Онежского муниципальных районов Архангельской области, городского округа «Город Архангельск», </w:t>
      </w:r>
      <w:proofErr w:type="gramStart"/>
      <w:r w:rsidRPr="001B7632">
        <w:rPr>
          <w:rFonts w:ascii="Times New Roman" w:hAnsi="Times New Roman"/>
          <w:sz w:val="24"/>
          <w:szCs w:val="24"/>
        </w:rPr>
        <w:t>государственных автономных</w:t>
      </w:r>
      <w:proofErr w:type="gramEnd"/>
      <w:r w:rsidRPr="001B7632">
        <w:rPr>
          <w:rFonts w:ascii="Times New Roman" w:hAnsi="Times New Roman"/>
          <w:sz w:val="24"/>
          <w:szCs w:val="24"/>
        </w:rPr>
        <w:t xml:space="preserve"> профессиональных образовательных учреждений Архангельской области «Вельский сельскохозяйственный техникум» и «</w:t>
      </w:r>
      <w:proofErr w:type="spellStart"/>
      <w:proofErr w:type="gramStart"/>
      <w:r w:rsidRPr="001B7632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индустриальный техникум»).</w:t>
      </w:r>
      <w:proofErr w:type="gramEnd"/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proofErr w:type="gramStart"/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  <w:proofErr w:type="gramEnd"/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</w:t>
      </w:r>
      <w:proofErr w:type="gramEnd"/>
      <w:r w:rsidRPr="00557B5B">
        <w:rPr>
          <w:rFonts w:ascii="Times New Roman" w:hAnsi="Times New Roman"/>
          <w:sz w:val="24"/>
          <w:szCs w:val="24"/>
        </w:rPr>
        <w:t xml:space="preserve">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proofErr w:type="gramStart"/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  <w:proofErr w:type="gramEnd"/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 xml:space="preserve">"Организация воспитания и социализации </w:t>
      </w:r>
      <w:proofErr w:type="gramStart"/>
      <w:r w:rsidR="00E61C21" w:rsidRPr="00E61C21">
        <w:rPr>
          <w:b/>
        </w:rPr>
        <w:t>обучающихся</w:t>
      </w:r>
      <w:proofErr w:type="gramEnd"/>
      <w:r w:rsidR="00E61C21" w:rsidRPr="00E61C21">
        <w:rPr>
          <w:b/>
        </w:rPr>
        <w:t>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proofErr w:type="gramStart"/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  <w:proofErr w:type="gramEnd"/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 xml:space="preserve">- повышение профессионального мастерства и развитие конкурсного движения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Красноборском</w:t>
      </w:r>
      <w:proofErr w:type="gramEnd"/>
      <w:r>
        <w:rPr>
          <w:shd w:val="clear" w:color="auto" w:fill="FFFFFF"/>
        </w:rPr>
        <w:t xml:space="preserve">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  <w:proofErr w:type="gramEnd"/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</w:t>
            </w:r>
            <w:proofErr w:type="gramStart"/>
            <w:r>
              <w:rPr>
                <w:bCs/>
                <w:sz w:val="22"/>
                <w:szCs w:val="22"/>
              </w:rPr>
              <w:t>ст в стр</w:t>
            </w:r>
            <w:proofErr w:type="gramEnd"/>
            <w:r>
              <w:rPr>
                <w:bCs/>
                <w:sz w:val="22"/>
                <w:szCs w:val="22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FE27AB">
        <w:trPr>
          <w:trHeight w:val="3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FE27AB">
        <w:trPr>
          <w:trHeight w:val="6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</w:t>
            </w:r>
            <w:proofErr w:type="gramStart"/>
            <w:r w:rsidRPr="00927DF4">
              <w:rPr>
                <w:sz w:val="22"/>
                <w:szCs w:val="22"/>
              </w:rPr>
              <w:t>.р</w:t>
            </w:r>
            <w:proofErr w:type="gramEnd"/>
            <w:r w:rsidRPr="00927DF4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E27AB" w:rsidTr="00FE27AB">
        <w:trPr>
          <w:trHeight w:val="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lastRenderedPageBreak/>
              <w:t>3821,6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1535,8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1835,8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1050,0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150,0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450,0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2771,6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1385,8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1385,8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proofErr w:type="gramStart"/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</w:t>
      </w:r>
      <w:proofErr w:type="gramEnd"/>
      <w:r>
        <w:t xml:space="preserve">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 xml:space="preserve"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</w:t>
      </w:r>
      <w:proofErr w:type="gramStart"/>
      <w:r>
        <w:t>Решению указанных проблем, повышению качества и доступности услуг по отдыху и оздоровлению детей в МО 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  <w:proofErr w:type="gramEnd"/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proofErr w:type="gramStart"/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  <w:proofErr w:type="gramEnd"/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Расходование предусмотренных программой денежных средств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>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lastRenderedPageBreak/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proofErr w:type="gramStart"/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  <w:proofErr w:type="gramEnd"/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</w:t>
      </w:r>
      <w:proofErr w:type="gramStart"/>
      <w:r>
        <w:rPr>
          <w:bCs/>
        </w:rPr>
        <w:t>ст в стр</w:t>
      </w:r>
      <w:proofErr w:type="gramEnd"/>
      <w:r>
        <w:rPr>
          <w:bCs/>
        </w:rPr>
        <w:t>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</w:t>
                  </w:r>
                  <w:proofErr w:type="gramStart"/>
                  <w:r w:rsidRPr="001B06E7">
                    <w:t>.р</w:t>
                  </w:r>
                  <w:proofErr w:type="gramEnd"/>
                  <w:r w:rsidRPr="001B06E7">
                    <w:t>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F4109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1B06E7" w:rsidRDefault="00F4109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40078,6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13013,1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13325,8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</w:pPr>
                  <w:r w:rsidRPr="00F41099">
                    <w:t>13739,7</w:t>
                  </w:r>
                </w:p>
              </w:tc>
            </w:tr>
            <w:tr w:rsidR="00F4109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1B06E7" w:rsidRDefault="00F4109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36929,6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11969,7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12286,2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12673,7</w:t>
                  </w:r>
                </w:p>
              </w:tc>
            </w:tr>
            <w:tr w:rsidR="00F4109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1B06E7" w:rsidRDefault="00F4109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3149,0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1043,4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1039,6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1099" w:rsidRPr="00F41099" w:rsidRDefault="00F41099">
                  <w:pPr>
                    <w:tabs>
                      <w:tab w:val="left" w:pos="3311"/>
                    </w:tabs>
                  </w:pPr>
                  <w:r w:rsidRPr="00F41099">
                    <w:t>1066,0</w:t>
                  </w:r>
                </w:p>
              </w:tc>
            </w:tr>
            <w:tr w:rsidR="00F4109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1B06E7" w:rsidRDefault="00F4109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099" w:rsidRPr="00F41099" w:rsidRDefault="00F41099">
                  <w:pPr>
                    <w:tabs>
                      <w:tab w:val="left" w:pos="3311"/>
                    </w:tabs>
                    <w:jc w:val="center"/>
                  </w:pPr>
                  <w:r w:rsidRPr="00F4109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</w:t>
      </w:r>
      <w:proofErr w:type="gramStart"/>
      <w:r>
        <w:t>решения проблемы профилактики правонарушений</w:t>
      </w:r>
      <w:proofErr w:type="gramEnd"/>
      <w:r>
        <w:t xml:space="preserve">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</w:t>
      </w:r>
      <w:r w:rsidR="00D76C62" w:rsidRPr="00D76C62">
        <w:rPr>
          <w:rFonts w:ascii="Times New Roman" w:hAnsi="Times New Roman"/>
          <w:sz w:val="24"/>
          <w:szCs w:val="24"/>
        </w:rPr>
        <w:lastRenderedPageBreak/>
        <w:t>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D76C62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  <w:proofErr w:type="gramEnd"/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</w:t>
      </w:r>
      <w:proofErr w:type="gramStart"/>
      <w:r w:rsidRPr="000A4AC5">
        <w:rPr>
          <w:rFonts w:ascii="Times New Roman" w:hAnsi="Times New Roman"/>
          <w:b/>
          <w:szCs w:val="24"/>
        </w:rPr>
        <w:t>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реализуется система персонифицированного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финансирования дополнительного образования детей, </w:t>
      </w:r>
      <w:proofErr w:type="gramStart"/>
      <w:r w:rsidRPr="000A4AC5">
        <w:rPr>
          <w:rFonts w:ascii="Times New Roman" w:hAnsi="Times New Roman"/>
          <w:iCs/>
          <w:szCs w:val="24"/>
        </w:rPr>
        <w:t>подразумевающая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предоставление детям сертификатов дополнительного образования. </w:t>
      </w:r>
      <w:proofErr w:type="gramStart"/>
      <w:r w:rsidRPr="000A4AC5">
        <w:rPr>
          <w:rFonts w:ascii="Times New Roman" w:hAnsi="Times New Roman"/>
          <w:iCs/>
          <w:szCs w:val="24"/>
        </w:rPr>
        <w:t>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  <w:proofErr w:type="gramEnd"/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  <w:proofErr w:type="gramEnd"/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b/>
                <w:color w:val="0D0D0D" w:themeColor="text1" w:themeTint="F2"/>
              </w:rPr>
              <w:t>-п</w:t>
            </w:r>
            <w:proofErr w:type="gramEnd"/>
            <w:r>
              <w:rPr>
                <w:b/>
                <w:color w:val="0D0D0D" w:themeColor="text1" w:themeTint="F2"/>
              </w:rPr>
              <w:t>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 xml:space="preserve">. Реализация </w:t>
            </w:r>
            <w:proofErr w:type="gramStart"/>
            <w:r w:rsidR="00D579A4">
              <w:t>всероссийского физкультурно-спортивного</w:t>
            </w:r>
            <w:proofErr w:type="gramEnd"/>
            <w:r w:rsidR="00D579A4">
              <w:t xml:space="preserve">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</w:t>
            </w:r>
            <w:proofErr w:type="gramStart"/>
            <w:r w:rsidRPr="00322E61">
              <w:t>обучающихся</w:t>
            </w:r>
            <w:proofErr w:type="gramEnd"/>
            <w:r w:rsidRPr="00322E61">
              <w:t xml:space="preserve">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FE27A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321AED" w:rsidRPr="00D83966">
                    <w:t>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proofErr w:type="gramStart"/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  <w:proofErr w:type="gramEnd"/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районных</w:t>
      </w:r>
      <w:proofErr w:type="gramEnd"/>
      <w:r>
        <w:rPr>
          <w:sz w:val="24"/>
          <w:szCs w:val="24"/>
        </w:rPr>
        <w:t xml:space="preserve">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 обучается 1342 человека. Во внеурочное время в </w:t>
      </w:r>
      <w:proofErr w:type="gramStart"/>
      <w:r>
        <w:rPr>
          <w:sz w:val="24"/>
          <w:szCs w:val="24"/>
        </w:rPr>
        <w:t>школьных спортивных</w:t>
      </w:r>
      <w:proofErr w:type="gramEnd"/>
      <w:r>
        <w:rPr>
          <w:sz w:val="24"/>
          <w:szCs w:val="24"/>
        </w:rPr>
        <w:t xml:space="preserve">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</w:t>
      </w:r>
      <w:proofErr w:type="gramStart"/>
      <w:r w:rsidR="00D579A4" w:rsidRPr="00051B31">
        <w:t>школьных спортивных</w:t>
      </w:r>
      <w:proofErr w:type="gramEnd"/>
      <w:r w:rsidR="00D579A4" w:rsidRPr="00051B31">
        <w:t xml:space="preserve">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 xml:space="preserve">Реализация </w:t>
      </w:r>
      <w:proofErr w:type="gramStart"/>
      <w:r w:rsidR="00D579A4">
        <w:rPr>
          <w:b/>
        </w:rPr>
        <w:t>всероссийского физкультурно-спортивного</w:t>
      </w:r>
      <w:proofErr w:type="gramEnd"/>
      <w:r w:rsidR="00D579A4">
        <w:rPr>
          <w:b/>
        </w:rPr>
        <w:t xml:space="preserve">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</w:t>
      </w:r>
      <w:proofErr w:type="gramStart"/>
      <w:r w:rsidR="00D579A4">
        <w:t>.К</w:t>
      </w:r>
      <w:proofErr w:type="gramEnd"/>
      <w:r w:rsidR="00D579A4">
        <w:t>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</w:t>
      </w:r>
      <w:proofErr w:type="gramStart"/>
      <w:r>
        <w:t xml:space="preserve">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  <w:proofErr w:type="gramEnd"/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174"/>
        <w:gridCol w:w="65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87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1959,5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1444,5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738,0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256C6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 xml:space="preserve">на сентябрь 2019 года </w:t>
      </w:r>
      <w:proofErr w:type="gramStart"/>
      <w:r w:rsidR="00D579A4">
        <w:rPr>
          <w:color w:val="000000"/>
        </w:rPr>
        <w:t>в</w:t>
      </w:r>
      <w:proofErr w:type="gramEnd"/>
      <w:r w:rsidR="00D579A4">
        <w:rPr>
          <w:color w:val="000000"/>
        </w:rPr>
        <w:t xml:space="preserve"> </w:t>
      </w:r>
      <w:proofErr w:type="gramStart"/>
      <w:r w:rsidR="00D579A4">
        <w:rPr>
          <w:color w:val="000000"/>
        </w:rPr>
        <w:t>Красноборском</w:t>
      </w:r>
      <w:proofErr w:type="gramEnd"/>
      <w:r w:rsidR="00D579A4">
        <w:rPr>
          <w:color w:val="000000"/>
        </w:rPr>
        <w:t xml:space="preserve">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lastRenderedPageBreak/>
        <w:t>консультации общеобразовательных учреждений по подготовке обучающихся к ПМПК, организация и сопровождение обучающихся на ПМПК.</w:t>
      </w:r>
      <w:proofErr w:type="gram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proofErr w:type="gramStart"/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</w:t>
      </w:r>
      <w:proofErr w:type="gramEnd"/>
      <w:r w:rsidR="00096D0C">
        <w:t>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proofErr w:type="gramStart"/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  <w:proofErr w:type="gramEnd"/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 xml:space="preserve">(далее </w:t>
            </w:r>
            <w:proofErr w:type="gramStart"/>
            <w:r>
              <w:t>-п</w:t>
            </w:r>
            <w:proofErr w:type="gramEnd"/>
            <w:r>
              <w:t>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 xml:space="preserve">Объем и источники финансирования </w:t>
            </w:r>
            <w:r w:rsidRPr="002505C6">
              <w:lastRenderedPageBreak/>
              <w:t>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87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28652,1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25102,1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150,0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3400,0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10110,2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6560,2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150,0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3400,0</w:t>
                  </w:r>
                </w:p>
              </w:tc>
            </w:tr>
            <w:tr w:rsidR="00CD307F" w:rsidRPr="002505C6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proofErr w:type="gramStart"/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>В современных условиях остается актуальной  проблема обеспечения антитеррористической безопасности в образовательных организаций.</w:t>
      </w:r>
      <w:proofErr w:type="gramEnd"/>
      <w:r>
        <w:t xml:space="preserve">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</w:t>
      </w:r>
      <w:proofErr w:type="gramStart"/>
      <w:r>
        <w:t>оснащены</w:t>
      </w:r>
      <w:proofErr w:type="gramEnd"/>
      <w:r>
        <w:t xml:space="preserve">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proofErr w:type="gramStart"/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  <w:proofErr w:type="gramEnd"/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proofErr w:type="gramStart"/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  <w:proofErr w:type="gramEnd"/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proofErr w:type="gramStart"/>
      <w:r w:rsidR="00642D1F" w:rsidRPr="00540A80">
        <w:rPr>
          <w:b/>
        </w:rPr>
        <w:t>"</w:t>
      </w:r>
      <w:r w:rsidR="00540A80" w:rsidRPr="00540A80">
        <w:t>о</w:t>
      </w:r>
      <w:proofErr w:type="gramEnd"/>
      <w:r w:rsidR="00540A80" w:rsidRPr="00540A80">
        <w:t>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</w:t>
      </w:r>
      <w:proofErr w:type="gramStart"/>
      <w:r w:rsidR="00540A80" w:rsidRPr="00540A80">
        <w:t>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  <w:proofErr w:type="gramEnd"/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</w:t>
      </w:r>
      <w:proofErr w:type="gramStart"/>
      <w:r w:rsidR="00B73D71" w:rsidRPr="004E512B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B73D71" w:rsidRPr="004E512B">
        <w:rPr>
          <w:rFonts w:ascii="Times New Roman" w:hAnsi="Times New Roman"/>
          <w:bCs/>
          <w:sz w:val="24"/>
          <w:szCs w:val="24"/>
        </w:rPr>
        <w:t xml:space="preserve">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proofErr w:type="gram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 w:rsidRPr="004E512B">
        <w:rPr>
          <w:rFonts w:ascii="Times New Roman" w:hAnsi="Times New Roman"/>
          <w:sz w:val="24"/>
          <w:szCs w:val="24"/>
        </w:rPr>
        <w:t xml:space="preserve">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proofErr w:type="gramStart"/>
      <w:r w:rsidR="00B5722E">
        <w:rPr>
          <w:bCs/>
        </w:rPr>
        <w:t>тельного</w:t>
      </w:r>
      <w:proofErr w:type="gramEnd"/>
      <w:r w:rsidR="00B5722E">
        <w:rPr>
          <w:bCs/>
        </w:rPr>
        <w:t xml:space="preserve">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 xml:space="preserve">Повышение </w:t>
            </w:r>
            <w:proofErr w:type="gramStart"/>
            <w: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876"/>
              <w:gridCol w:w="996"/>
              <w:gridCol w:w="996"/>
            </w:tblGrid>
            <w:tr w:rsidR="00F24EBD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31562,2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9554,2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10629,1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11378,9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7331,5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2039,6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2613,0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2678,9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24230,7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7514,6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8016,1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8700,0</w:t>
                  </w:r>
                </w:p>
              </w:tc>
            </w:tr>
            <w:tr w:rsidR="00CD307F" w:rsidTr="00004060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</w:t>
      </w:r>
      <w:proofErr w:type="gramEnd"/>
      <w:r w:rsidR="00D579A4">
        <w:rPr>
          <w:rFonts w:ascii="Times New Roman" w:eastAsia="Calibri" w:hAnsi="Times New Roman"/>
          <w:sz w:val="24"/>
          <w:szCs w:val="24"/>
        </w:rPr>
        <w:t xml:space="preserve">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  <w:proofErr w:type="gramEnd"/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lastRenderedPageBreak/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</w:t>
      </w:r>
      <w:proofErr w:type="gramStart"/>
      <w:r w:rsidRPr="00D76C62">
        <w:rPr>
          <w:color w:val="0D0D0D" w:themeColor="text1" w:themeTint="F2"/>
        </w:rPr>
        <w:t xml:space="preserve">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  <w:proofErr w:type="gramEnd"/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  <w:proofErr w:type="gramEnd"/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  <w:proofErr w:type="gramEnd"/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proofErr w:type="gramStart"/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</w:t>
            </w:r>
            <w:proofErr w:type="gramEnd"/>
            <w:r>
              <w:rPr>
                <w:color w:val="0D0D0D" w:themeColor="text1" w:themeTint="F2"/>
              </w:rPr>
              <w:t>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70321,2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25995,9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19224,0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25101,3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65082,0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24709,3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17386,4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22986,3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5239,2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1286,6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1837,6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2115,0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район»;</w:t>
      </w:r>
      <w:proofErr w:type="gramEnd"/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proofErr w:type="gramEnd"/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proofErr w:type="gramStart"/>
            <w:r w:rsidRPr="00426EE1">
              <w:t xml:space="preserve">Базовый </w:t>
            </w:r>
            <w:proofErr w:type="gramEnd"/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lastRenderedPageBreak/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proofErr w:type="gramStart"/>
            <w:r w:rsidRPr="004F56BA"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proofErr w:type="gramStart"/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  <w:proofErr w:type="gramEnd"/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</w:t>
            </w:r>
            <w:proofErr w:type="gramStart"/>
            <w:r w:rsidRPr="00426E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6EE1">
              <w:rPr>
                <w:rFonts w:ascii="Times New Roman" w:hAnsi="Times New Roman" w:cs="Times New Roman"/>
              </w:rPr>
              <w:t xml:space="preserve">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суммарную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lastRenderedPageBreak/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D3750F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D3750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D3750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 xml:space="preserve">9. Удельный вес численности обучающихся общеобразовательных учреждений, участвующих в олимпиадах и конкурсах различного уровня, в общей </w:t>
            </w:r>
            <w:proofErr w:type="gramStart"/>
            <w:r w:rsidRPr="00426EE1">
              <w:t>численности</w:t>
            </w:r>
            <w:proofErr w:type="gramEnd"/>
            <w:r w:rsidRPr="00426EE1">
              <w:t xml:space="preserve">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D3750F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D3750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D3750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 xml:space="preserve">- общая численность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 xml:space="preserve">учреждений образования,  которые получили   социальные </w:t>
            </w:r>
            <w:proofErr w:type="gramStart"/>
            <w:r w:rsidRPr="00426EE1">
              <w:t>выплаты</w:t>
            </w:r>
            <w:proofErr w:type="gramEnd"/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AA536C" w:rsidRPr="003A35B1" w:rsidRDefault="00AA536C" w:rsidP="00AA536C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AA536C" w:rsidRPr="003A35B1" w:rsidRDefault="00AA536C" w:rsidP="00AA536C">
      <w:pPr>
        <w:widowControl w:val="0"/>
        <w:jc w:val="right"/>
      </w:pPr>
      <w:r w:rsidRPr="003A35B1">
        <w:t>к муниципальной программе</w:t>
      </w:r>
    </w:p>
    <w:p w:rsidR="00AA536C" w:rsidRPr="003A35B1" w:rsidRDefault="00AA536C" w:rsidP="00AA536C">
      <w:pPr>
        <w:widowControl w:val="0"/>
        <w:jc w:val="right"/>
      </w:pPr>
      <w:r w:rsidRPr="003A35B1">
        <w:t>МО «</w:t>
      </w:r>
      <w:proofErr w:type="spellStart"/>
      <w:r w:rsidRPr="003A35B1">
        <w:t>Красноборский</w:t>
      </w:r>
      <w:proofErr w:type="spellEnd"/>
    </w:p>
    <w:p w:rsidR="00AA536C" w:rsidRPr="003A35B1" w:rsidRDefault="00AA536C" w:rsidP="00AA536C">
      <w:pPr>
        <w:widowControl w:val="0"/>
        <w:ind w:firstLine="540"/>
        <w:jc w:val="right"/>
      </w:pPr>
      <w:r w:rsidRPr="003A35B1">
        <w:t>муниципальный район»</w:t>
      </w:r>
    </w:p>
    <w:p w:rsidR="00256C6C" w:rsidRDefault="00256C6C" w:rsidP="00256C6C">
      <w:pPr>
        <w:widowControl w:val="0"/>
        <w:ind w:firstLine="540"/>
        <w:jc w:val="center"/>
      </w:pPr>
      <w:r>
        <w:t>РЕСУРСНОЕ ОБЕСПЕЧЕНИЕ</w:t>
      </w:r>
    </w:p>
    <w:p w:rsidR="00256C6C" w:rsidRDefault="00256C6C" w:rsidP="00256C6C">
      <w:pPr>
        <w:widowControl w:val="0"/>
        <w:ind w:firstLine="540"/>
        <w:jc w:val="center"/>
      </w:pPr>
      <w:r>
        <w:t>муниципальной программы</w:t>
      </w:r>
    </w:p>
    <w:p w:rsidR="00256C6C" w:rsidRDefault="00256C6C" w:rsidP="00256C6C">
      <w:pPr>
        <w:jc w:val="center"/>
        <w:rPr>
          <w:rStyle w:val="a3"/>
          <w:rFonts w:asciiTheme="minorHAnsi" w:hAnsiTheme="minorHAnsi" w:cstheme="minorBidi"/>
          <w:b w:val="0"/>
          <w:color w:val="000000"/>
        </w:rPr>
      </w:pPr>
      <w:r>
        <w:rPr>
          <w:rStyle w:val="a3"/>
          <w:color w:val="000000"/>
        </w:rPr>
        <w:t>«Развитие образования в МО  «</w:t>
      </w:r>
      <w:proofErr w:type="spellStart"/>
      <w:r>
        <w:rPr>
          <w:rStyle w:val="a3"/>
          <w:color w:val="000000"/>
        </w:rPr>
        <w:t>Красноборский</w:t>
      </w:r>
      <w:proofErr w:type="spellEnd"/>
      <w:r>
        <w:rPr>
          <w:rStyle w:val="a3"/>
          <w:color w:val="000000"/>
        </w:rPr>
        <w:t xml:space="preserve"> муниципальный район»</w:t>
      </w:r>
    </w:p>
    <w:p w:rsidR="00256C6C" w:rsidRDefault="00256C6C" w:rsidP="00256C6C">
      <w:pPr>
        <w:widowControl w:val="0"/>
        <w:ind w:firstLine="540"/>
        <w:jc w:val="center"/>
      </w:pPr>
      <w:r>
        <w:rPr>
          <w:rStyle w:val="a3"/>
          <w:color w:val="000000"/>
        </w:rPr>
        <w:t>с 2020 по 2022 годы»</w:t>
      </w:r>
    </w:p>
    <w:p w:rsidR="00256C6C" w:rsidRDefault="00256C6C" w:rsidP="00256C6C">
      <w:pPr>
        <w:widowControl w:val="0"/>
        <w:ind w:firstLine="540"/>
        <w:jc w:val="center"/>
      </w:pPr>
      <w:r>
        <w:t>за счет всех источников финансирования</w:t>
      </w:r>
    </w:p>
    <w:p w:rsidR="00256C6C" w:rsidRDefault="00256C6C" w:rsidP="00256C6C">
      <w:pPr>
        <w:widowControl w:val="0"/>
        <w:ind w:firstLine="540"/>
        <w:jc w:val="center"/>
      </w:pPr>
    </w:p>
    <w:p w:rsidR="00256C6C" w:rsidRDefault="00256C6C" w:rsidP="00256C6C">
      <w:pPr>
        <w:widowControl w:val="0"/>
        <w:ind w:firstLine="540"/>
        <w:jc w:val="center"/>
      </w:pPr>
      <w:r>
        <w:t xml:space="preserve">Ответственный исполнитель муниципальной программы </w:t>
      </w:r>
    </w:p>
    <w:p w:rsidR="00256C6C" w:rsidRDefault="00256C6C" w:rsidP="00256C6C">
      <w:pPr>
        <w:widowControl w:val="0"/>
        <w:ind w:firstLine="540"/>
        <w:jc w:val="center"/>
        <w:rPr>
          <w:u w:val="single"/>
        </w:rPr>
      </w:pPr>
      <w:r>
        <w:rPr>
          <w:u w:val="single"/>
        </w:rPr>
        <w:t xml:space="preserve">Управление образования </w:t>
      </w:r>
    </w:p>
    <w:p w:rsidR="00256C6C" w:rsidRDefault="00256C6C" w:rsidP="00256C6C">
      <w:pPr>
        <w:widowControl w:val="0"/>
        <w:jc w:val="both"/>
      </w:pPr>
    </w:p>
    <w:p w:rsidR="00256C6C" w:rsidRDefault="00256C6C" w:rsidP="00256C6C">
      <w:pPr>
        <w:widowControl w:val="0"/>
        <w:jc w:val="both"/>
      </w:pPr>
    </w:p>
    <w:tbl>
      <w:tblPr>
        <w:tblW w:w="1035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1"/>
        <w:gridCol w:w="1985"/>
        <w:gridCol w:w="1843"/>
        <w:gridCol w:w="1417"/>
        <w:gridCol w:w="1276"/>
        <w:gridCol w:w="1134"/>
        <w:gridCol w:w="1134"/>
      </w:tblGrid>
      <w:tr w:rsidR="00256C6C" w:rsidTr="00256C6C">
        <w:trPr>
          <w:trHeight w:val="3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Наименование</w:t>
            </w:r>
          </w:p>
          <w:p w:rsidR="00256C6C" w:rsidRDefault="00256C6C">
            <w:pPr>
              <w:widowControl w:val="0"/>
              <w:jc w:val="center"/>
              <w:rPr>
                <w:rFonts w:eastAsiaTheme="minorEastAsia"/>
              </w:rPr>
            </w:pPr>
            <w:proofErr w:type="gramStart"/>
            <w:r>
              <w:t>муниципальной</w:t>
            </w:r>
            <w:proofErr w:type="gramEnd"/>
          </w:p>
          <w:p w:rsidR="00256C6C" w:rsidRDefault="00256C6C">
            <w:pPr>
              <w:widowControl w:val="0"/>
              <w:jc w:val="center"/>
            </w:pPr>
            <w:r>
              <w:t>программы,</w:t>
            </w:r>
          </w:p>
          <w:p w:rsidR="00256C6C" w:rsidRDefault="00256C6C">
            <w:pPr>
              <w:widowControl w:val="0"/>
              <w:jc w:val="center"/>
            </w:pPr>
            <w: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Источник</w:t>
            </w:r>
          </w:p>
          <w:p w:rsidR="00256C6C" w:rsidRDefault="00256C6C">
            <w:pPr>
              <w:widowControl w:val="0"/>
              <w:jc w:val="center"/>
            </w:pPr>
            <w:r>
              <w:t>финансирования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Оценка расходов, тыс. рублей</w:t>
            </w:r>
          </w:p>
        </w:tc>
      </w:tr>
      <w:tr w:rsidR="00256C6C" w:rsidTr="00256C6C">
        <w:trPr>
          <w:trHeight w:val="96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Общий объем</w:t>
            </w:r>
          </w:p>
          <w:p w:rsidR="00256C6C" w:rsidRDefault="00256C6C">
            <w:pPr>
              <w:widowControl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2022 г.</w:t>
            </w:r>
          </w:p>
        </w:tc>
      </w:tr>
      <w:tr w:rsidR="00256C6C" w:rsidTr="00256C6C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center"/>
            </w:pPr>
            <w:r>
              <w:t>7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proofErr w:type="gramStart"/>
            <w:r>
              <w:t>Муниципальная</w:t>
            </w:r>
            <w:proofErr w:type="gramEnd"/>
          </w:p>
          <w:p w:rsidR="00256C6C" w:rsidRDefault="00256C6C">
            <w:pPr>
              <w:widowControl w:val="0"/>
              <w:jc w:val="center"/>
              <w:rPr>
                <w:i/>
              </w:rPr>
            </w:pPr>
            <w:r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jc w:val="center"/>
            </w:pPr>
            <w:r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  <w:r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1397833,03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448875,9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474827,4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523993,9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168076,7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183588,0</w:t>
            </w:r>
          </w:p>
        </w:tc>
      </w:tr>
      <w:tr w:rsidR="00256C6C" w:rsidTr="00256C6C">
        <w:trPr>
          <w:trHeight w:val="381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824267,2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261879,5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271460,6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48171,9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19778,8</w:t>
            </w:r>
          </w:p>
        </w:tc>
      </w:tr>
      <w:tr w:rsidR="00256C6C" w:rsidTr="00256C6C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«Развитие  системы дошкольного и общего образования с 2020 по 2022 годы"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1221337,8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403756,2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419011,7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479376,8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156628,4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167497,0</w:t>
            </w:r>
          </w:p>
        </w:tc>
      </w:tr>
      <w:tr w:rsidR="00256C6C" w:rsidTr="00256C6C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693483,1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228208,1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231735,9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47077,9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19778,8</w:t>
            </w:r>
          </w:p>
        </w:tc>
      </w:tr>
      <w:tr w:rsidR="00256C6C" w:rsidTr="00256C6C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jc w:val="center"/>
            </w:pPr>
            <w:r>
              <w:t>"Развитие системы отдыха и оздоровления детей с 2020 по 2022 годы"</w:t>
            </w:r>
          </w:p>
          <w:p w:rsidR="00256C6C" w:rsidRDefault="00256C6C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3821,6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1535,8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1835,8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1050,0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450,0</w:t>
            </w:r>
          </w:p>
        </w:tc>
      </w:tr>
      <w:tr w:rsidR="00256C6C" w:rsidTr="00256C6C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1385,8</w:t>
            </w:r>
          </w:p>
        </w:tc>
      </w:tr>
      <w:tr w:rsidR="00256C6C" w:rsidTr="00256C6C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bookmarkStart w:id="5" w:name="Par497"/>
            <w:bookmarkEnd w:id="5"/>
            <w:r>
              <w:t>Подпрограмма №3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  <w:r>
              <w:t xml:space="preserve">"Развитие системы </w:t>
            </w:r>
            <w:proofErr w:type="gramStart"/>
            <w:r>
              <w:lastRenderedPageBreak/>
              <w:t>дополнительного</w:t>
            </w:r>
            <w:proofErr w:type="gramEnd"/>
          </w:p>
          <w:p w:rsidR="00256C6C" w:rsidRDefault="00256C6C">
            <w:pPr>
              <w:widowControl w:val="0"/>
              <w:jc w:val="center"/>
              <w:rPr>
                <w:rFonts w:eastAsiaTheme="minorEastAsia"/>
              </w:rPr>
            </w:pPr>
            <w:r>
              <w:t>образования с 2020 по 2022 годы"</w:t>
            </w:r>
          </w:p>
          <w:p w:rsidR="00256C6C" w:rsidRDefault="00256C6C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40078,6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13325,8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13739,7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1066,0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36929,6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12286,2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12673,7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"Развитие школьного и детско-юношеского спорта с 2020 по 2022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</w:pPr>
            <w:r>
              <w:t>100,0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shd w:val="clear" w:color="auto" w:fill="FFFFFF" w:themeFill="background1"/>
              <w:jc w:val="center"/>
            </w:pPr>
            <w:r>
              <w:t>"Создание условий для инклюзивного образования с 2020 по 2022 годы "</w:t>
            </w:r>
          </w:p>
          <w:p w:rsidR="00256C6C" w:rsidRDefault="00256C6C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260,0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260,0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shd w:val="clear" w:color="auto" w:fill="FFFFFF" w:themeFill="background1"/>
              <w:jc w:val="center"/>
            </w:pPr>
            <w:r>
              <w:t xml:space="preserve">"Обеспечение комплексной безопасности общеобразовательных учреждений </w:t>
            </w:r>
          </w:p>
          <w:p w:rsidR="00256C6C" w:rsidRDefault="00256C6C">
            <w:pPr>
              <w:shd w:val="clear" w:color="auto" w:fill="FFFFFF" w:themeFill="background1"/>
              <w:jc w:val="center"/>
              <w:rPr>
                <w:rStyle w:val="a3"/>
                <w:rFonts w:eastAsiaTheme="minorEastAsia"/>
              </w:rPr>
            </w:pPr>
            <w:r>
              <w:t>с 2020 по 2022 годы"</w:t>
            </w:r>
          </w:p>
          <w:p w:rsidR="00256C6C" w:rsidRDefault="00256C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28652,1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3400,0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10110,2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3400,0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11378,9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24230,7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8700,0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2678,9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Подпрограмма №8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" Социальные выплаты работникам образования"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70321,2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19224,0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25101,3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widowControl w:val="0"/>
              <w:jc w:val="center"/>
            </w:pP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бюджет муниципальног</w:t>
            </w:r>
            <w: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lastRenderedPageBreak/>
              <w:t>5239,2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2115,0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65082,0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17386,4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22986,3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  <w:tr w:rsidR="00256C6C" w:rsidTr="00256C6C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widowControl w:val="0"/>
              <w:jc w:val="both"/>
            </w:pPr>
            <w: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widowControl w:val="0"/>
              <w:jc w:val="center"/>
            </w:pPr>
            <w:r>
              <w:t>0,0</w:t>
            </w:r>
          </w:p>
        </w:tc>
      </w:tr>
    </w:tbl>
    <w:p w:rsidR="00256C6C" w:rsidRDefault="00256C6C" w:rsidP="00256C6C">
      <w:pPr>
        <w:sectPr w:rsidR="00256C6C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lastRenderedPageBreak/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25F68" w:rsidRDefault="00325F68" w:rsidP="00AA536C">
      <w:pPr>
        <w:widowControl w:val="0"/>
        <w:jc w:val="right"/>
        <w:outlineLvl w:val="1"/>
      </w:pPr>
    </w:p>
    <w:p w:rsidR="00256C6C" w:rsidRPr="0001762A" w:rsidRDefault="00256C6C" w:rsidP="00256C6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1762A">
        <w:rPr>
          <w:rFonts w:ascii="Times New Roman" w:hAnsi="Times New Roman"/>
          <w:sz w:val="28"/>
          <w:szCs w:val="28"/>
        </w:rPr>
        <w:t>ПЕРЕЧЕНЬ МЕРОПРИЯТИЙ</w:t>
      </w:r>
    </w:p>
    <w:p w:rsidR="00256C6C" w:rsidRPr="0001762A" w:rsidRDefault="00256C6C" w:rsidP="00256C6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1762A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1762A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1762A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256C6C" w:rsidRPr="0001762A" w:rsidRDefault="00256C6C" w:rsidP="00256C6C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</w:rPr>
      </w:pPr>
      <w:r w:rsidRPr="0001762A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1762A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1762A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256C6C" w:rsidRPr="0001762A" w:rsidRDefault="00256C6C" w:rsidP="00256C6C">
      <w:pPr>
        <w:pStyle w:val="af4"/>
        <w:jc w:val="center"/>
        <w:rPr>
          <w:rFonts w:ascii="Times New Roman" w:hAnsi="Times New Roman"/>
          <w:szCs w:val="24"/>
        </w:rPr>
      </w:pPr>
      <w:r w:rsidRPr="0001762A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50" w:type="dxa"/>
        <w:tblLayout w:type="fixed"/>
        <w:tblLook w:val="04A0"/>
      </w:tblPr>
      <w:tblGrid>
        <w:gridCol w:w="3872"/>
        <w:gridCol w:w="1907"/>
        <w:gridCol w:w="1843"/>
        <w:gridCol w:w="1277"/>
        <w:gridCol w:w="141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bookmarkStart w:id="6" w:name="Par671"/>
            <w:bookmarkEnd w:id="6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1221337,8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398569,9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403756,2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693483,1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228208,1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479376,8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156628,4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47077,9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18919,7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иные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42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Задача № 1. Предоставление дошкольного образования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349891,2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112875,8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199373,7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64533,4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174696,9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56757,4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минимального </w:t>
            </w:r>
            <w:proofErr w:type="gramStart"/>
            <w:r>
              <w:rPr>
                <w:rFonts w:ascii="Times New Roman" w:hAnsi="Times New Roman"/>
              </w:rPr>
              <w:t>размера оплаты труда младших воспитателей</w:t>
            </w:r>
            <w:proofErr w:type="gramEnd"/>
            <w:r>
              <w:rPr>
                <w:rFonts w:ascii="Times New Roman" w:hAnsi="Times New Roman"/>
              </w:rPr>
              <w:t xml:space="preserve">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 48700,0  </w:t>
            </w:r>
            <w:r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  47761,2</w:t>
            </w:r>
            <w:r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52145,3  </w:t>
            </w:r>
            <w:r>
              <w:rPr>
                <w:rFonts w:ascii="Times New Roman" w:hAnsi="Times New Roman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2020 г. –  579 чел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.г – 601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2022 г. – 621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г.- 26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г.- 30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2022 г.- 31чел.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97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856411,3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280344,6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481961,5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163837,2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154653,3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106771,6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476341,5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153882,8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основным общеобразовательным программам: 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 1334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320303,8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105368,7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–102876,1    </w:t>
            </w:r>
            <w:r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105366,7  </w:t>
            </w:r>
            <w:r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112059,0  </w:t>
            </w:r>
            <w:r>
              <w:rPr>
                <w:rFonts w:ascii="Times New Roman" w:hAnsi="Times New Roman"/>
                <w:szCs w:val="24"/>
              </w:rPr>
              <w:t>тыс. руб.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18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1134,5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100%  обучающихся с ограниченными возможностями здоровья обеспечены бесплатным двухразовым питанием в общеобразовательных учреждениях: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</w:pPr>
            <w:r>
              <w:rPr>
                <w:rFonts w:ascii="Times New Roman" w:hAnsi="Times New Roman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общеобразовательных учреждения, обновивших материально-техническую базу  для занятия </w:t>
            </w:r>
            <w:r>
              <w:rPr>
                <w:rFonts w:ascii="Times New Roman" w:hAnsi="Times New Roman"/>
              </w:rPr>
              <w:lastRenderedPageBreak/>
              <w:t xml:space="preserve">физической культурой и спортом: 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18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1182,7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13121,0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524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ascii="Times New Roman" w:hAnsi="Times New Roman"/>
              </w:rPr>
              <w:lastRenderedPageBreak/>
              <w:t xml:space="preserve">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образования, образовательные </w:t>
            </w:r>
            <w:r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 – 43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/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«Куликовская средняя школа» будет приобретено оборудование для </w:t>
            </w:r>
            <w:proofErr w:type="spellStart"/>
            <w:r>
              <w:rPr>
                <w:rFonts w:ascii="Times New Roman" w:hAnsi="Times New Roman"/>
              </w:rPr>
              <w:t>скалодрома</w:t>
            </w:r>
            <w:proofErr w:type="spellEnd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ind w:left="336"/>
              <w:jc w:val="center"/>
            </w:pPr>
            <w:r>
              <w:t>Задача № 3. Активизация деятельности по целевой подготовке студентов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100% граждан,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поступившим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образования, произведена компенсация расходов по оплате проезда к месту учебы не менее двух раз в год: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41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0,0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9021,4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3126,5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0,0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1329,4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2022 г. – 1000,0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</w:tcPr>
          <w:p w:rsidR="00256C6C" w:rsidRDefault="00256C6C"/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Задача №5. Организация воспитания и социализации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105,0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105,0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2022 г. –105,0 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>
              <w:rPr>
                <w:rFonts w:ascii="Times New Roman" w:hAnsi="Times New Roman"/>
              </w:rPr>
              <w:t>Красноборский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Финансирование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>
              <w:rPr>
                <w:rFonts w:ascii="Times New Roman" w:hAnsi="Times New Roman"/>
              </w:rPr>
              <w:t>Красноборский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  <w:proofErr w:type="gramEnd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средняя</w:t>
            </w:r>
          </w:p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4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13325,8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438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39760,6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29997,9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  <w:proofErr w:type="gramEnd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802,8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–681,5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700,0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  <w:proofErr w:type="gramEnd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gramStart"/>
            <w:r>
              <w:rPr>
                <w:rFonts w:ascii="Times New Roman" w:hAnsi="Times New Roman"/>
              </w:rPr>
              <w:t>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hAnsi="Times New Roman"/>
              </w:rPr>
              <w:t xml:space="preserve">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8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10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</w:tcPr>
          <w:p w:rsidR="00256C6C" w:rsidRDefault="00256C6C"/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/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материально-технической базы </w:t>
            </w:r>
            <w:proofErr w:type="gramStart"/>
            <w:r>
              <w:rPr>
                <w:rFonts w:ascii="Times New Roman" w:hAnsi="Times New Roman"/>
              </w:rPr>
              <w:t>школьных спортивных</w:t>
            </w:r>
            <w:proofErr w:type="gramEnd"/>
            <w:r>
              <w:rPr>
                <w:rFonts w:ascii="Times New Roman" w:hAnsi="Times New Roman"/>
              </w:rPr>
              <w:t xml:space="preserve">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1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Задача № 1.  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/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Задача № 1.  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183,0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2021 г. –  255,0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260,0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  <w:proofErr w:type="gramEnd"/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256C6C" w:rsidRDefault="00256C6C">
            <w:pPr>
              <w:shd w:val="clear" w:color="auto" w:fill="FFFFFF" w:themeFill="background1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lastRenderedPageBreak/>
              <w:t>с 2020 по 2022 годы"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Цель подпрограммы:</w:t>
            </w:r>
            <w:bookmarkStart w:id="7" w:name="__DdeLink__11754_2883513281"/>
            <w:r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7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shd w:val="clear" w:color="auto" w:fill="FFFFFF" w:themeFill="background1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(все структурные подразделения), 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2021 г.-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 г. - СП «Детский сад «Березка» МБОУ «Куликовская  средняя школа»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зданий дошкольных образовательных учреждений: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школа»;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</w:t>
            </w:r>
            <w:proofErr w:type="spellStart"/>
            <w:r>
              <w:rPr>
                <w:rFonts w:ascii="Times New Roman" w:hAnsi="Times New Roman"/>
              </w:rPr>
              <w:t>Чебурашка</w:t>
            </w:r>
            <w:proofErr w:type="spellEnd"/>
            <w:r>
              <w:rPr>
                <w:rFonts w:ascii="Times New Roman" w:hAnsi="Times New Roman"/>
              </w:rPr>
              <w:t xml:space="preserve">» МБОУ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 школа»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сад» 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КрасноборскаяЧеревковская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 ремонт образовательных учреждений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все дошкольные </w:t>
            </w:r>
            <w:r>
              <w:rPr>
                <w:rFonts w:ascii="Times New Roman" w:hAnsi="Times New Roman"/>
              </w:rPr>
              <w:lastRenderedPageBreak/>
              <w:t>учреждения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/>
          <w:p w:rsidR="00256C6C" w:rsidRDefault="00256C6C"/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256C6C" w:rsidRDefault="00256C6C">
            <w:pPr>
              <w:pStyle w:val="af4"/>
              <w:spacing w:line="27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школа».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кнопки тревожной сигнализации: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СП «Детский сад «</w:t>
            </w:r>
            <w:proofErr w:type="gramStart"/>
            <w:r>
              <w:rPr>
                <w:rFonts w:ascii="Times New Roman" w:hAnsi="Times New Roman"/>
              </w:rPr>
              <w:t>Ладушки</w:t>
            </w:r>
            <w:proofErr w:type="gram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</w:t>
            </w:r>
            <w:proofErr w:type="gramEnd"/>
            <w:r>
              <w:rPr>
                <w:rFonts w:ascii="Times New Roman" w:hAnsi="Times New Roman"/>
              </w:rPr>
              <w:t xml:space="preserve"> травматизма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Оснащение  образовательных учреждений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256C6C" w:rsidRDefault="00256C6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методическими материалами по профилактике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детского</w:t>
            </w:r>
            <w:proofErr w:type="gramEnd"/>
          </w:p>
          <w:p w:rsidR="00256C6C" w:rsidRDefault="00256C6C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256C6C" w:rsidRDefault="00256C6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2020 г. – 1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256C6C" w:rsidRDefault="00256C6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2021 год – 2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256C6C" w:rsidRDefault="00256C6C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2022 год – 1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  образовательных учреждения, имеющие предписания проведут работы по их устранению, а также закупят оборудование для обеспечения детей горячим питанием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gramStart"/>
            <w:r>
              <w:rPr>
                <w:rFonts w:ascii="Times New Roman" w:hAnsi="Times New Roman"/>
              </w:rPr>
              <w:t>образовательных учреждений, имеющих на своем балансе котельные проведут</w:t>
            </w:r>
            <w:proofErr w:type="gramEnd"/>
            <w:r>
              <w:rPr>
                <w:rFonts w:ascii="Times New Roman" w:hAnsi="Times New Roman"/>
              </w:rPr>
              <w:t xml:space="preserve">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51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</w:pPr>
            <w:r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Красноборский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   для перевозки детей: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742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подпрограммы: Повышение </w:t>
            </w:r>
            <w:proofErr w:type="gramStart"/>
            <w:r>
              <w:rPr>
                <w:rFonts w:ascii="Times New Roman" w:hAnsi="Times New Roman"/>
                <w:b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58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28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28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7514,6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</w:pPr>
          </w:p>
          <w:p w:rsidR="00256C6C" w:rsidRDefault="00256C6C">
            <w:pPr>
              <w:pStyle w:val="af4"/>
              <w:spacing w:line="276" w:lineRule="auto"/>
            </w:pPr>
          </w:p>
          <w:p w:rsidR="00256C6C" w:rsidRDefault="00256C6C">
            <w:pPr>
              <w:pStyle w:val="af4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2039,6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2563,0 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2585,5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0,0 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 50,0 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93,4     </w:t>
            </w:r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2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</w:pPr>
            <w:r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</w:pPr>
            <w:r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г.-1085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8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both"/>
            </w:pPr>
            <w:proofErr w:type="gramStart"/>
            <w:r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</w:t>
            </w:r>
            <w:r>
              <w:rPr>
                <w:rFonts w:ascii="Times New Roman" w:hAnsi="Times New Roman"/>
              </w:rPr>
              <w:lastRenderedPageBreak/>
              <w:t>обратно</w:t>
            </w:r>
            <w:proofErr w:type="gramEnd"/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38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1397833,0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448875,9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rPr>
          <w:trHeight w:val="5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824267,2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290927,1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261879,5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168076,7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56C6C" w:rsidTr="00256C6C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C6C" w:rsidRDefault="00256C6C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6C" w:rsidRDefault="00256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256C6C" w:rsidRDefault="00256C6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56C6C" w:rsidRDefault="00256C6C" w:rsidP="00256C6C">
      <w:pPr>
        <w:rPr>
          <w:rFonts w:asciiTheme="minorHAnsi" w:hAnsiTheme="minorHAnsi" w:cstheme="minorBidi"/>
          <w:sz w:val="22"/>
          <w:szCs w:val="22"/>
        </w:rPr>
      </w:pPr>
    </w:p>
    <w:p w:rsidR="00256C6C" w:rsidRDefault="00256C6C" w:rsidP="00256C6C"/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4AC5"/>
    <w:rsid w:val="000B1B7C"/>
    <w:rsid w:val="000B4FDE"/>
    <w:rsid w:val="000B64BC"/>
    <w:rsid w:val="000C7469"/>
    <w:rsid w:val="000D2684"/>
    <w:rsid w:val="00134176"/>
    <w:rsid w:val="0015079F"/>
    <w:rsid w:val="00157724"/>
    <w:rsid w:val="00166D49"/>
    <w:rsid w:val="00180F49"/>
    <w:rsid w:val="001B06E7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A62B7"/>
    <w:rsid w:val="002C1195"/>
    <w:rsid w:val="002D3A1D"/>
    <w:rsid w:val="002D584F"/>
    <w:rsid w:val="002D62EF"/>
    <w:rsid w:val="002E1FB4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A3F8F"/>
    <w:rsid w:val="004E512B"/>
    <w:rsid w:val="004F706C"/>
    <w:rsid w:val="00502A3E"/>
    <w:rsid w:val="005148A9"/>
    <w:rsid w:val="00522B88"/>
    <w:rsid w:val="00540A80"/>
    <w:rsid w:val="00543296"/>
    <w:rsid w:val="00557B5B"/>
    <w:rsid w:val="00562EE0"/>
    <w:rsid w:val="00567473"/>
    <w:rsid w:val="00592383"/>
    <w:rsid w:val="005936D9"/>
    <w:rsid w:val="005A2DFB"/>
    <w:rsid w:val="005B292B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A025C"/>
    <w:rsid w:val="007B1825"/>
    <w:rsid w:val="007E511B"/>
    <w:rsid w:val="007F399F"/>
    <w:rsid w:val="00802DE5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A536C"/>
    <w:rsid w:val="00AB2718"/>
    <w:rsid w:val="00AC4DD9"/>
    <w:rsid w:val="00AE5082"/>
    <w:rsid w:val="00B01121"/>
    <w:rsid w:val="00B066B7"/>
    <w:rsid w:val="00B11A76"/>
    <w:rsid w:val="00B31EFD"/>
    <w:rsid w:val="00B3437E"/>
    <w:rsid w:val="00B5722E"/>
    <w:rsid w:val="00B62F15"/>
    <w:rsid w:val="00B67F9C"/>
    <w:rsid w:val="00B73D71"/>
    <w:rsid w:val="00B77B16"/>
    <w:rsid w:val="00B9726A"/>
    <w:rsid w:val="00BE047B"/>
    <w:rsid w:val="00BE2B6E"/>
    <w:rsid w:val="00BE73D5"/>
    <w:rsid w:val="00BF2B92"/>
    <w:rsid w:val="00C07C5A"/>
    <w:rsid w:val="00C12DD6"/>
    <w:rsid w:val="00C14C7E"/>
    <w:rsid w:val="00C27240"/>
    <w:rsid w:val="00C35DF1"/>
    <w:rsid w:val="00C46921"/>
    <w:rsid w:val="00C80B85"/>
    <w:rsid w:val="00C866F2"/>
    <w:rsid w:val="00C877F5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79A4"/>
    <w:rsid w:val="00D718A0"/>
    <w:rsid w:val="00D76C62"/>
    <w:rsid w:val="00D76FE3"/>
    <w:rsid w:val="00D813B0"/>
    <w:rsid w:val="00D83966"/>
    <w:rsid w:val="00DB62FA"/>
    <w:rsid w:val="00DD426C"/>
    <w:rsid w:val="00DD7383"/>
    <w:rsid w:val="00DE01BF"/>
    <w:rsid w:val="00DE13C3"/>
    <w:rsid w:val="00E25E69"/>
    <w:rsid w:val="00E266C5"/>
    <w:rsid w:val="00E318C4"/>
    <w:rsid w:val="00E33AFE"/>
    <w:rsid w:val="00E40AC5"/>
    <w:rsid w:val="00E5426A"/>
    <w:rsid w:val="00E61C21"/>
    <w:rsid w:val="00E9316D"/>
    <w:rsid w:val="00EA43D3"/>
    <w:rsid w:val="00ED3DF5"/>
    <w:rsid w:val="00EE0435"/>
    <w:rsid w:val="00EF631F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uiPriority="35" w:qFormat="1"/>
    <w:lsdException w:name="page number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semiHidden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uiPriority w:val="99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uiPriority w:val="99"/>
    <w:semiHidden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uiPriority w:val="99"/>
    <w:semiHidden/>
    <w:rsid w:val="00540A80"/>
  </w:style>
  <w:style w:type="paragraph" w:styleId="af">
    <w:name w:val="List"/>
    <w:basedOn w:val="ae"/>
    <w:uiPriority w:val="99"/>
    <w:qFormat/>
    <w:rsid w:val="002662D1"/>
    <w:rPr>
      <w:rFonts w:cs="Mangal"/>
    </w:rPr>
  </w:style>
  <w:style w:type="paragraph" w:customStyle="1" w:styleId="Caption">
    <w:name w:val="Caption"/>
    <w:basedOn w:val="a"/>
    <w:uiPriority w:val="99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uiPriority w:val="99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uiPriority w:val="99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uiPriority w:val="99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uiPriority w:val="99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uiPriority w:val="99"/>
    <w:semiHidden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uiPriority w:val="99"/>
    <w:semiHidden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uiPriority w:val="99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uiPriority w:val="99"/>
    <w:qFormat/>
    <w:rsid w:val="001009C2"/>
    <w:pPr>
      <w:spacing w:beforeAutospacing="1" w:afterAutospacing="1"/>
    </w:pPr>
  </w:style>
  <w:style w:type="paragraph" w:customStyle="1" w:styleId="ConsPlusCell">
    <w:name w:val="ConsPlusCell"/>
    <w:uiPriority w:val="99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uiPriority w:val="99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uiPriority w:val="99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uiPriority w:val="99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uiPriority w:val="99"/>
    <w:rsid w:val="00540A80"/>
    <w:rPr>
      <w:sz w:val="28"/>
    </w:rPr>
  </w:style>
  <w:style w:type="paragraph" w:styleId="af7">
    <w:name w:val="Document Map"/>
    <w:basedOn w:val="a"/>
    <w:link w:val="18"/>
    <w:uiPriority w:val="99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uiPriority w:val="99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uiPriority w:val="99"/>
    <w:qFormat/>
    <w:rsid w:val="002662D1"/>
    <w:pPr>
      <w:suppressLineNumbers/>
    </w:pPr>
  </w:style>
  <w:style w:type="paragraph" w:customStyle="1" w:styleId="af9">
    <w:name w:val="Заголовок таблицы"/>
    <w:basedOn w:val="af8"/>
    <w:uiPriority w:val="99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uiPriority w:val="99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uiPriority w:val="99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15847</Words>
  <Characters>90330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4</cp:revision>
  <cp:lastPrinted>2019-11-21T07:36:00Z</cp:lastPrinted>
  <dcterms:created xsi:type="dcterms:W3CDTF">2021-03-09T06:03:00Z</dcterms:created>
  <dcterms:modified xsi:type="dcterms:W3CDTF">2021-03-09T06:11:00Z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