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03" w:rsidRDefault="001B0903" w:rsidP="001B0903">
      <w:pPr>
        <w:pStyle w:val="a3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kern w:val="6"/>
          <w:sz w:val="28"/>
          <w:szCs w:val="28"/>
        </w:rPr>
        <w:t>АДМИНИСТРАЦИЯ  МУНИЦИПАЛЬНОГО ОБРАЗОВАНИЯ «КРАСНОБОРСКИЙ МУНИЦИПАЛЬНЫЙ РАЙОН»</w:t>
      </w:r>
    </w:p>
    <w:p w:rsidR="001B0903" w:rsidRDefault="001B0903" w:rsidP="001B0903">
      <w:pPr>
        <w:pStyle w:val="a3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</w:p>
    <w:p w:rsidR="001B0903" w:rsidRDefault="001B0903" w:rsidP="001B0903">
      <w:pPr>
        <w:pStyle w:val="a3"/>
        <w:jc w:val="right"/>
        <w:rPr>
          <w:rFonts w:ascii="Times New Roman" w:hAnsi="Times New Roman"/>
          <w:bCs/>
          <w:iCs/>
          <w:spacing w:val="-18"/>
          <w:kern w:val="6"/>
          <w:sz w:val="28"/>
          <w:szCs w:val="28"/>
        </w:rPr>
      </w:pPr>
    </w:p>
    <w:p w:rsidR="001B0903" w:rsidRDefault="001B0903" w:rsidP="001B09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B0903" w:rsidRDefault="001B0903" w:rsidP="001B09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0903" w:rsidRDefault="001B0903" w:rsidP="001B09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 июля 2020 г. № 342</w:t>
      </w:r>
    </w:p>
    <w:p w:rsidR="001B0903" w:rsidRDefault="001B0903" w:rsidP="001B0903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B0903" w:rsidRDefault="001B0903" w:rsidP="001B09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1B0903" w:rsidRDefault="001B0903" w:rsidP="001B0903">
      <w:pPr>
        <w:pStyle w:val="ConsPlusTitle"/>
        <w:jc w:val="center"/>
        <w:rPr>
          <w:sz w:val="28"/>
          <w:szCs w:val="28"/>
        </w:rPr>
      </w:pPr>
    </w:p>
    <w:p w:rsidR="001B0903" w:rsidRDefault="001B0903" w:rsidP="001B09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примерное Положение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903" w:rsidRDefault="001B0903" w:rsidP="001B09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систем оплаты труда работников </w:t>
      </w:r>
    </w:p>
    <w:p w:rsidR="001B0903" w:rsidRDefault="001B0903" w:rsidP="001B09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культуры, </w:t>
      </w:r>
    </w:p>
    <w:p w:rsidR="001B0903" w:rsidRDefault="001B0903" w:rsidP="001B09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администрации МО </w:t>
      </w:r>
    </w:p>
    <w:p w:rsidR="001B0903" w:rsidRDefault="001B0903" w:rsidP="001B09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1B0903" w:rsidRDefault="001B0903" w:rsidP="001B090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соответствии с постановлением администрации МО «Красноборский муниципальный район» от 17.02.2017 года № 42 «Об утверждении Положения об установлении систем оплаты труда работников муниципальных учреждений» (с изменениями от 18.12.2017 № 624, от 29.10.2018 № 517, от 27.08.2019 № 381, от 10.09.2019 № 411, от 04.10.2019 № 466, от 13.03.2020 № 132) администрация муниципального образования «Красноборский муниципальный район»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примерное Положение об установлении </w:t>
      </w:r>
      <w:proofErr w:type="gramStart"/>
      <w:r>
        <w:rPr>
          <w:sz w:val="28"/>
          <w:szCs w:val="28"/>
        </w:rPr>
        <w:t>систем оплаты труда работников муниципальных учреждений</w:t>
      </w:r>
      <w:proofErr w:type="gramEnd"/>
      <w:r>
        <w:rPr>
          <w:sz w:val="28"/>
          <w:szCs w:val="28"/>
        </w:rPr>
        <w:t xml:space="preserve"> культуры, подведомственных администрации МО «Красноборский муниципальный район», утвержденное постановлением администрации МО «Красноборский муниципальный район» от 22 июня 2018 г. № 302 (с изменениями от 05.11.2019 г. № 533, от 06.12.2019 г. № 611) (далее – Положение) следующие изменения и дополнения: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15 раздела </w:t>
      </w:r>
      <w:r>
        <w:rPr>
          <w:sz w:val="28"/>
          <w:szCs w:val="28"/>
          <w:lang w:val="en-US"/>
        </w:rPr>
        <w:t>II</w:t>
      </w:r>
      <w:r w:rsidRPr="001B090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«15. Минимальные размеры должностных окладов по профессиональным квалификационным группам определяются: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профессиональным квалификационным группам должностей работников культуры, искусства и кинематографии в соответствии с  приложением № 1 к настоящему Положению;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профессиональным квалификационным группам общеотраслевых должностей руководителей, специалистов и служащих в соответствии с  приложением № 2 к настоящему Положению;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профессиям рабочих в соответствии с приложением № 3 к настоящему Положению;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профессиям, не включенным в профессиональные квалификационные группы в соответствии с приложением № 4 к настоящему Положению.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о системе оплаты труда определяются конкретные размеры окладов (должностных окладов), ставок заработной платы </w:t>
      </w:r>
      <w:r>
        <w:rPr>
          <w:sz w:val="28"/>
          <w:szCs w:val="28"/>
        </w:rPr>
        <w:lastRenderedPageBreak/>
        <w:t xml:space="preserve">работников муниципальных учреждений культуры по профессиональным квалификационным группам не ниже соответствующих минимальных размеров окладов (должностных окладов), ставок заработной платы работников муниципальных учреждений культуры, определенных настоящим Положением, в пределах </w:t>
      </w:r>
      <w:proofErr w:type="gramStart"/>
      <w:r>
        <w:rPr>
          <w:sz w:val="28"/>
          <w:szCs w:val="28"/>
        </w:rPr>
        <w:t>фондов оплаты труда муниципальных учреждений культуры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Оклад (должностной оклад),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положением о системе оплаты труда. В трудовой договор работника муниципального учреждения культуры подлежит включению конкретный размер устанавливаемого работнику оклада (должностного оклада), ставки заработной платы.</w:t>
      </w:r>
    </w:p>
    <w:p w:rsidR="001B0903" w:rsidRDefault="001B0903" w:rsidP="001B09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Индексация окладов (должностных окладов), ставок заработной платы работников муниципальных учреждений культуры осуществляется в размерах и сроки, устанавливаемые постановлениями администрации МО «Красноборский муниципальный район» о повышении (индексации) оплаты труда работников муниципальных учреждений культуры. Руководители муниципальных бюджетных учреждений культуры вправе издавать приказы о дополнительном повышении (индексации) оплаты труда работников соответствующих муниципальных бюджетных учреждений культуры в иные сроки и (или) иных размерах, при этом размер индексации в процентном отношении должен быть одинаков для всех работников муниципального учреждения культуры. </w:t>
      </w:r>
      <w:proofErr w:type="gramStart"/>
      <w:r>
        <w:rPr>
          <w:color w:val="000000"/>
          <w:sz w:val="28"/>
          <w:szCs w:val="28"/>
        </w:rPr>
        <w:t>В случае издания постановления администрации МО «Красноборский муниципальный район» или приказа руководителя муниципального бюджетного учреждения культуры о повышении (индексации) или дополнительном повышении (индексации) оплаты труда работников муниципальных учреждений культуры размеры окладов (должностных окладов),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актами, содержащими</w:t>
      </w:r>
      <w:proofErr w:type="gramEnd"/>
      <w:r>
        <w:rPr>
          <w:color w:val="000000"/>
          <w:sz w:val="28"/>
          <w:szCs w:val="28"/>
        </w:rPr>
        <w:t xml:space="preserve"> нормы трудового права. При повышении (индексации) окладов (должностных окладов), ставок заработной платы работников муниципальных учреждений культуры размеры окладов (должностных окладов), ставок заработной платы подлежат округлению до целого рубля в сторону увеличения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B0903" w:rsidRDefault="001B0903" w:rsidP="001B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9) пункта 23 раздела IV Положения изложить в следующей редакции </w:t>
      </w:r>
    </w:p>
    <w:p w:rsidR="001B0903" w:rsidRDefault="001B0903" w:rsidP="001B090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Надбавка за работу в сельской местности;».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32 раздела IV Положения дополнить абзацем шестым следующего содержания: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«Выплаты стимулирующего характера, выраженные в трудовых договорах работников муниципальных учреждений культуры в абсолютных размерах (в рублях), подлежат изменению в размерах и сроки, </w:t>
      </w:r>
      <w:r>
        <w:rPr>
          <w:color w:val="000000"/>
          <w:sz w:val="28"/>
          <w:szCs w:val="28"/>
        </w:rPr>
        <w:lastRenderedPageBreak/>
        <w:t>устанавливаемые постановлениями администрации МО «Красноборский муниципальный район» о повышении (индексации)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(индексации) оплаты труда работников соответствующих муниципальных бюджетных учреждений культуры, в соответствии с</w:t>
      </w:r>
      <w:proofErr w:type="gramEnd"/>
      <w:r>
        <w:rPr>
          <w:color w:val="000000"/>
          <w:sz w:val="28"/>
          <w:szCs w:val="28"/>
        </w:rPr>
        <w:t xml:space="preserve"> соглашениями об изменении условий трудовых договоров, заключаемыми в порядке, предусмотренном трудовым законодательством и иными актами, содержащими нормы трудового права. При повышении (индексации) выплат стимулирующего характера, выраженных в абсолютных размерах (в рублях), размеры этих выплат стимулирующего характера подлежат округлению до целого рубля в сторону увеличения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B0903" w:rsidRDefault="001B0903" w:rsidP="001B09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33 раздела IV Положения изложить в следующей редакции: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«Надбавка за работу в сельской местности устанавливается отдельным работникам муниципальных учреждений</w:t>
      </w:r>
      <w:r>
        <w:rPr>
          <w:color w:val="000000"/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работающим в сельской местности, в минимальном размере 5 процентов оклада (должностного оклада), ставки заработной платы. Положениями о системе оплаты труда определяются конкретные размеры надбавки за работу в сельской местности не ниже минимального размера, определенного настоящим Положением.  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 работников, которым устанавливается надбавка за работу в сельской местности, приведен в приложении № 5 к настоящему Положению.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за работу в сельской местности начисляется ежемесячно за фактически отработанное время.   </w:t>
      </w:r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о системе оплаты труда могут быть предусмотрены дополнительные категории работников, которым устанавливается надбавка за работу в сельской местности</w:t>
      </w:r>
      <w:proofErr w:type="gramStart"/>
      <w:r>
        <w:rPr>
          <w:sz w:val="28"/>
          <w:szCs w:val="28"/>
        </w:rPr>
        <w:t>.».</w:t>
      </w:r>
      <w:proofErr w:type="gramEnd"/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Последний абзац пункта 37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Положения изложить в следующей редакции: </w:t>
      </w:r>
    </w:p>
    <w:p w:rsidR="001B0903" w:rsidRDefault="001B0903" w:rsidP="001B09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«Должностной оклад руководителя муниципального учреждения культуры подлежит изменению в размерах и сроки, устанавливаемые постановлениями администрации МО «Красноборский муниципальный район» о повышении (индексации)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(индексации) оплаты труда работников соответствующих муниципальных бюджетных учреждений культуры, в соответствии с соглашениями об изменении условий трудовых договоров, заключаемыми в порядке, предусмотренном</w:t>
      </w:r>
      <w:proofErr w:type="gramEnd"/>
      <w:r>
        <w:rPr>
          <w:color w:val="000000"/>
          <w:sz w:val="28"/>
          <w:szCs w:val="28"/>
        </w:rPr>
        <w:t xml:space="preserve"> трудовым законодательством и иными актами, содержащими нормы трудового права. При повышении (индексации)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B0903" w:rsidRDefault="001B0903" w:rsidP="001B09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>
        <w:rPr>
          <w:sz w:val="28"/>
          <w:szCs w:val="28"/>
        </w:rPr>
        <w:t xml:space="preserve">Последний абзац пункта 38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Положения изложить в следующей редакции: </w:t>
      </w:r>
    </w:p>
    <w:p w:rsidR="001B0903" w:rsidRDefault="001B0903" w:rsidP="001B09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«Должностные оклады заместителей руководителей и главных бухгалтеров муниципального учреждения культуры подлежит изменению в размерах и сроки, устанавливаемые постановлениями администрации МО «Красноборский  муниципальный район» о повышении (индексации)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(индексации) оплаты труда работников соответствующих муниципальных бюджетных учреждений культуры, в соответствии с соглашениями об изменении условий трудовых договоров, заключаемыми</w:t>
      </w:r>
      <w:proofErr w:type="gramEnd"/>
      <w:r>
        <w:rPr>
          <w:color w:val="000000"/>
          <w:sz w:val="28"/>
          <w:szCs w:val="28"/>
        </w:rPr>
        <w:t xml:space="preserve"> в порядке, предусмотренном трудовым законодательством и иными актами, содержащими нормы трудового права. При повышении (индексации)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B0903" w:rsidRDefault="001B0903" w:rsidP="001B0903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Рекомендовать главе МО «</w:t>
      </w:r>
      <w:proofErr w:type="spellStart"/>
      <w:r>
        <w:rPr>
          <w:snapToGrid w:val="0"/>
          <w:color w:val="000000"/>
          <w:sz w:val="28"/>
          <w:szCs w:val="28"/>
        </w:rPr>
        <w:t>Черевковское</w:t>
      </w:r>
      <w:proofErr w:type="spellEnd"/>
      <w:r>
        <w:rPr>
          <w:snapToGrid w:val="0"/>
          <w:color w:val="000000"/>
          <w:sz w:val="28"/>
          <w:szCs w:val="28"/>
        </w:rPr>
        <w:t xml:space="preserve">» привести примерное Положение об установлении </w:t>
      </w:r>
      <w:proofErr w:type="gramStart"/>
      <w:r>
        <w:rPr>
          <w:snapToGrid w:val="0"/>
          <w:color w:val="000000"/>
          <w:sz w:val="28"/>
          <w:szCs w:val="28"/>
        </w:rPr>
        <w:t>систем оплаты труда работников учреждений культуры</w:t>
      </w:r>
      <w:proofErr w:type="gramEnd"/>
      <w:r>
        <w:rPr>
          <w:snapToGrid w:val="0"/>
          <w:color w:val="000000"/>
          <w:sz w:val="28"/>
          <w:szCs w:val="28"/>
        </w:rPr>
        <w:t xml:space="preserve"> в соответствии с</w:t>
      </w:r>
      <w:r>
        <w:rPr>
          <w:snapToGrid w:val="0"/>
          <w:sz w:val="28"/>
          <w:szCs w:val="28"/>
        </w:rPr>
        <w:t xml:space="preserve"> настоящим постановлением.</w:t>
      </w:r>
    </w:p>
    <w:p w:rsidR="001B0903" w:rsidRDefault="001B0903" w:rsidP="001B0903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 Руководителям муниципальных учреждений культуры в течение двух месяцев со дня вступления в силу настоящего постановления внести изменения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в соответствующие положения об оплате труда в целях их приведения в соответствии с настоящим постановлением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B0903" w:rsidRDefault="001B0903" w:rsidP="001B0903">
      <w:pPr>
        <w:pStyle w:val="ConsPlusNormal"/>
        <w:widowControl/>
        <w:ind w:firstLine="540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руководителя отдела культуры и туризма Власову Л.В. </w:t>
      </w:r>
      <w:r>
        <w:rPr>
          <w:snapToGrid w:val="0"/>
          <w:sz w:val="28"/>
          <w:szCs w:val="28"/>
        </w:rPr>
        <w:t xml:space="preserve">                  </w:t>
      </w:r>
    </w:p>
    <w:p w:rsidR="001B0903" w:rsidRDefault="001B0903" w:rsidP="001B09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1B0903" w:rsidRDefault="001B0903" w:rsidP="001B09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03" w:rsidRDefault="001B0903" w:rsidP="001B09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03" w:rsidRDefault="001B0903" w:rsidP="001B0903">
      <w:pPr>
        <w:pStyle w:val="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муниципального образования                                          В.С. Рудаков</w:t>
      </w:r>
    </w:p>
    <w:p w:rsidR="003663AC" w:rsidRDefault="003663AC"/>
    <w:sectPr w:rsidR="003663AC" w:rsidSect="0036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03"/>
    <w:rsid w:val="001B0903"/>
    <w:rsid w:val="003663AC"/>
    <w:rsid w:val="00D3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B090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1B0903"/>
    <w:rPr>
      <w:rFonts w:eastAsia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B0903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rsid w:val="001B090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0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Власова</dc:creator>
  <cp:lastModifiedBy>Лариса Власова</cp:lastModifiedBy>
  <cp:revision>1</cp:revision>
  <dcterms:created xsi:type="dcterms:W3CDTF">2020-07-16T12:04:00Z</dcterms:created>
  <dcterms:modified xsi:type="dcterms:W3CDTF">2020-07-16T12:08:00Z</dcterms:modified>
</cp:coreProperties>
</file>