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CC3" w:rsidRDefault="001973BC" w:rsidP="00EF7680">
      <w:pPr>
        <w:tabs>
          <w:tab w:val="left" w:pos="6675"/>
        </w:tabs>
        <w:jc w:val="right"/>
      </w:pPr>
      <w:r>
        <w:t xml:space="preserve">                                                                                                                                                                   </w:t>
      </w:r>
      <w:r w:rsidR="000142E3">
        <w:t xml:space="preserve">                       </w:t>
      </w:r>
      <w:r w:rsidR="006E3B27">
        <w:t xml:space="preserve">Приложение № </w:t>
      </w:r>
      <w:r w:rsidR="003142FC">
        <w:t>3</w:t>
      </w:r>
      <w:r>
        <w:t xml:space="preserve">                                                                                                                               </w:t>
      </w:r>
      <w:r w:rsidR="006E3B27">
        <w:t xml:space="preserve">                 </w:t>
      </w:r>
      <w:r w:rsidR="000142E3">
        <w:t xml:space="preserve">                         </w:t>
      </w:r>
      <w:r w:rsidR="00B946B9">
        <w:t xml:space="preserve">      </w:t>
      </w:r>
      <w:r w:rsidR="00A64901">
        <w:t xml:space="preserve"> </w:t>
      </w:r>
      <w:r w:rsidR="00B946B9">
        <w:t xml:space="preserve"> </w:t>
      </w:r>
      <w:r w:rsidR="006E3B27">
        <w:t xml:space="preserve">к </w:t>
      </w:r>
      <w:r w:rsidR="003142FC">
        <w:t>постановлению</w:t>
      </w:r>
      <w:r w:rsidR="00B946B9">
        <w:t xml:space="preserve"> </w:t>
      </w:r>
      <w:r w:rsidR="00EF7680">
        <w:t>от 18</w:t>
      </w:r>
      <w:r w:rsidR="00A64901">
        <w:t>.11</w:t>
      </w:r>
      <w:r w:rsidR="006E3B27">
        <w:t>.20</w:t>
      </w:r>
      <w:r w:rsidR="00A64901">
        <w:t>1</w:t>
      </w:r>
      <w:r w:rsidR="00374F7F">
        <w:t>6</w:t>
      </w:r>
      <w:r w:rsidR="006E3B27">
        <w:t xml:space="preserve"> года №</w:t>
      </w:r>
      <w:r w:rsidR="00613CC3">
        <w:t xml:space="preserve"> </w:t>
      </w:r>
      <w:r w:rsidR="00EF7680">
        <w:t>491</w:t>
      </w:r>
    </w:p>
    <w:p w:rsidR="00613CC3" w:rsidRDefault="00613CC3" w:rsidP="00613CC3">
      <w:pPr>
        <w:tabs>
          <w:tab w:val="left" w:pos="6675"/>
        </w:tabs>
        <w:jc w:val="center"/>
      </w:pPr>
    </w:p>
    <w:p w:rsidR="00EF7680" w:rsidRDefault="00EF7680" w:rsidP="00613CC3">
      <w:pPr>
        <w:tabs>
          <w:tab w:val="left" w:pos="6675"/>
        </w:tabs>
        <w:jc w:val="center"/>
      </w:pPr>
    </w:p>
    <w:p w:rsidR="00613CC3" w:rsidRDefault="00613CC3" w:rsidP="00613CC3">
      <w:pPr>
        <w:tabs>
          <w:tab w:val="left" w:pos="6675"/>
        </w:tabs>
        <w:jc w:val="center"/>
      </w:pPr>
    </w:p>
    <w:p w:rsidR="00703C31" w:rsidRPr="00EF7680" w:rsidRDefault="001A6580" w:rsidP="00613CC3">
      <w:pPr>
        <w:tabs>
          <w:tab w:val="left" w:pos="6675"/>
        </w:tabs>
        <w:jc w:val="center"/>
        <w:rPr>
          <w:sz w:val="28"/>
          <w:szCs w:val="28"/>
        </w:rPr>
      </w:pPr>
      <w:r w:rsidRPr="00EF7680">
        <w:rPr>
          <w:sz w:val="28"/>
          <w:szCs w:val="28"/>
        </w:rPr>
        <w:t xml:space="preserve">Нормативы отчислений от налоговых доходов в местные </w:t>
      </w:r>
      <w:bookmarkStart w:id="0" w:name="_GoBack"/>
      <w:bookmarkEnd w:id="0"/>
      <w:r w:rsidRPr="00EF7680">
        <w:rPr>
          <w:sz w:val="28"/>
          <w:szCs w:val="28"/>
        </w:rPr>
        <w:t>бюджеты</w:t>
      </w:r>
    </w:p>
    <w:p w:rsidR="00703C31" w:rsidRPr="00EF7680" w:rsidRDefault="00703C31" w:rsidP="00703C31"/>
    <w:p w:rsidR="00D14294" w:rsidRPr="00EF7680" w:rsidRDefault="00BB3403" w:rsidP="00BB3403">
      <w:pPr>
        <w:tabs>
          <w:tab w:val="left" w:pos="1020"/>
        </w:tabs>
        <w:jc w:val="right"/>
      </w:pPr>
      <w:r w:rsidRPr="00EF7680">
        <w:t>(процентов)</w:t>
      </w:r>
    </w:p>
    <w:tbl>
      <w:tblPr>
        <w:tblStyle w:val="a4"/>
        <w:tblW w:w="14623" w:type="dxa"/>
        <w:tblLook w:val="04A0" w:firstRow="1" w:lastRow="0" w:firstColumn="1" w:lastColumn="0" w:noHBand="0" w:noVBand="1"/>
      </w:tblPr>
      <w:tblGrid>
        <w:gridCol w:w="4928"/>
        <w:gridCol w:w="1884"/>
        <w:gridCol w:w="1499"/>
        <w:gridCol w:w="1884"/>
        <w:gridCol w:w="1272"/>
        <w:gridCol w:w="1884"/>
        <w:gridCol w:w="1272"/>
      </w:tblGrid>
      <w:tr w:rsidR="00BB3403" w:rsidRPr="00EF7680" w:rsidTr="00BB3403">
        <w:tc>
          <w:tcPr>
            <w:tcW w:w="4928" w:type="dxa"/>
            <w:vMerge w:val="restart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Наименование налога (сбора)</w:t>
            </w:r>
          </w:p>
        </w:tc>
        <w:tc>
          <w:tcPr>
            <w:tcW w:w="3383" w:type="dxa"/>
            <w:gridSpan w:val="2"/>
            <w:vMerge w:val="restart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Очередной финансовый год</w:t>
            </w:r>
          </w:p>
        </w:tc>
        <w:tc>
          <w:tcPr>
            <w:tcW w:w="6312" w:type="dxa"/>
            <w:gridSpan w:val="4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Плановый период</w:t>
            </w:r>
          </w:p>
        </w:tc>
      </w:tr>
      <w:tr w:rsidR="00BB3403" w:rsidRPr="00EF7680" w:rsidTr="00BB3403">
        <w:tc>
          <w:tcPr>
            <w:tcW w:w="4928" w:type="dxa"/>
            <w:vMerge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3383" w:type="dxa"/>
            <w:gridSpan w:val="2"/>
            <w:vMerge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3156" w:type="dxa"/>
            <w:gridSpan w:val="2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2017 год</w:t>
            </w:r>
          </w:p>
        </w:tc>
        <w:tc>
          <w:tcPr>
            <w:tcW w:w="3156" w:type="dxa"/>
            <w:gridSpan w:val="2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2018 год</w:t>
            </w:r>
          </w:p>
        </w:tc>
      </w:tr>
      <w:tr w:rsidR="00BB3403" w:rsidRPr="00EF7680" w:rsidTr="00BB3403">
        <w:tc>
          <w:tcPr>
            <w:tcW w:w="4928" w:type="dxa"/>
            <w:vMerge/>
          </w:tcPr>
          <w:p w:rsidR="00BB3403" w:rsidRPr="00EF7680" w:rsidRDefault="00BB3403" w:rsidP="00BB3403">
            <w:pPr>
              <w:tabs>
                <w:tab w:val="left" w:pos="1020"/>
              </w:tabs>
              <w:jc w:val="right"/>
            </w:pP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муниципальный район</w:t>
            </w: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поселения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муниципальный район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поселения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муниципальный район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поселения</w:t>
            </w: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Налог на доходы физических лиц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33</w:t>
            </w: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2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33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2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33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2</w:t>
            </w: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Налог на имущество физических лиц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Единый 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Единый налог на вмененный доход для отдельных видов деятельности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Единый сельскохозяйственный налог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70</w:t>
            </w: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70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70</w:t>
            </w: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30</w:t>
            </w:r>
          </w:p>
        </w:tc>
      </w:tr>
      <w:tr w:rsidR="00BB3403" w:rsidRPr="00EF7680" w:rsidTr="00BB3403">
        <w:tc>
          <w:tcPr>
            <w:tcW w:w="4928" w:type="dxa"/>
          </w:tcPr>
          <w:p w:rsidR="00BB3403" w:rsidRPr="00EF7680" w:rsidRDefault="00BB3403" w:rsidP="00BB3403">
            <w:pPr>
              <w:tabs>
                <w:tab w:val="left" w:pos="1020"/>
              </w:tabs>
            </w:pPr>
            <w:r w:rsidRPr="00EF7680">
              <w:t>Земельный налог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499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  <w:tc>
          <w:tcPr>
            <w:tcW w:w="1884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</w:p>
        </w:tc>
        <w:tc>
          <w:tcPr>
            <w:tcW w:w="1272" w:type="dxa"/>
          </w:tcPr>
          <w:p w:rsidR="00BB3403" w:rsidRPr="00EF7680" w:rsidRDefault="00BB3403" w:rsidP="00BB3403">
            <w:pPr>
              <w:tabs>
                <w:tab w:val="left" w:pos="1020"/>
              </w:tabs>
              <w:jc w:val="center"/>
            </w:pPr>
            <w:r w:rsidRPr="00EF7680">
              <w:t>100</w:t>
            </w:r>
          </w:p>
        </w:tc>
      </w:tr>
    </w:tbl>
    <w:p w:rsidR="00BB3403" w:rsidRPr="00BB3403" w:rsidRDefault="00BB3403" w:rsidP="00BB3403">
      <w:pPr>
        <w:tabs>
          <w:tab w:val="left" w:pos="1020"/>
        </w:tabs>
        <w:jc w:val="right"/>
      </w:pPr>
    </w:p>
    <w:p w:rsidR="00BB3403" w:rsidRPr="00BB3403" w:rsidRDefault="00BB3403">
      <w:pPr>
        <w:tabs>
          <w:tab w:val="left" w:pos="1020"/>
        </w:tabs>
        <w:jc w:val="right"/>
      </w:pPr>
    </w:p>
    <w:sectPr w:rsidR="00BB3403" w:rsidRPr="00BB3403" w:rsidSect="00613CC3">
      <w:pgSz w:w="16838" w:h="11906" w:orient="landscape"/>
      <w:pgMar w:top="1701" w:right="1134" w:bottom="38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A6580"/>
    <w:rsid w:val="000142E3"/>
    <w:rsid w:val="000323DC"/>
    <w:rsid w:val="00043434"/>
    <w:rsid w:val="00065C27"/>
    <w:rsid w:val="00137B81"/>
    <w:rsid w:val="00165AE4"/>
    <w:rsid w:val="001973BC"/>
    <w:rsid w:val="001A6580"/>
    <w:rsid w:val="00211DC1"/>
    <w:rsid w:val="00294DB3"/>
    <w:rsid w:val="003142FC"/>
    <w:rsid w:val="00374F7F"/>
    <w:rsid w:val="004A121F"/>
    <w:rsid w:val="005B5A1A"/>
    <w:rsid w:val="006113B0"/>
    <w:rsid w:val="00613CC3"/>
    <w:rsid w:val="006E096A"/>
    <w:rsid w:val="006E3B27"/>
    <w:rsid w:val="00703C31"/>
    <w:rsid w:val="007132BF"/>
    <w:rsid w:val="007B202D"/>
    <w:rsid w:val="0087555B"/>
    <w:rsid w:val="008D2189"/>
    <w:rsid w:val="008E2A65"/>
    <w:rsid w:val="0098300C"/>
    <w:rsid w:val="00A64901"/>
    <w:rsid w:val="00A7742C"/>
    <w:rsid w:val="00A81AF8"/>
    <w:rsid w:val="00B2274F"/>
    <w:rsid w:val="00B26DFB"/>
    <w:rsid w:val="00B946B9"/>
    <w:rsid w:val="00BB3403"/>
    <w:rsid w:val="00BB4874"/>
    <w:rsid w:val="00C027EE"/>
    <w:rsid w:val="00D14294"/>
    <w:rsid w:val="00D5683E"/>
    <w:rsid w:val="00EA4B53"/>
    <w:rsid w:val="00EC6603"/>
    <w:rsid w:val="00EE0D96"/>
    <w:rsid w:val="00EF7680"/>
    <w:rsid w:val="00F2045E"/>
    <w:rsid w:val="00F93661"/>
    <w:rsid w:val="00FE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77235B-9E1A-404C-AEF8-B9564B1A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68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B3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2016-11-28T12:36:00Z</cp:lastPrinted>
  <dcterms:created xsi:type="dcterms:W3CDTF">2014-11-07T07:15:00Z</dcterms:created>
  <dcterms:modified xsi:type="dcterms:W3CDTF">2016-11-28T12:36:00Z</dcterms:modified>
</cp:coreProperties>
</file>