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9B" w:rsidRPr="00862F9B" w:rsidRDefault="00862F9B" w:rsidP="00862F9B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862F9B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Социальный налоговый вычет по налогу на доходы физических лиц</w:t>
      </w:r>
    </w:p>
    <w:p w:rsidR="00862F9B" w:rsidRDefault="00862F9B" w:rsidP="00862F9B">
      <w:pPr>
        <w:pStyle w:val="articledecorationfirst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Почти все со своих доходов платят налог на доходы физических лиц (НДФЛ). Если гражданин потратил деньги на лечение, обучение или иные цели, предусмотренные Налоговым кодексом России, то он имеет </w:t>
      </w:r>
      <w:proofErr w:type="spellStart"/>
      <w:r>
        <w:rPr>
          <w:sz w:val="29"/>
          <w:szCs w:val="29"/>
        </w:rPr>
        <w:t>правополучить</w:t>
      </w:r>
      <w:proofErr w:type="spellEnd"/>
      <w:r>
        <w:rPr>
          <w:sz w:val="29"/>
          <w:szCs w:val="29"/>
        </w:rPr>
        <w:t xml:space="preserve"> социальный налоговый вычет.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 данной статье мы предлагаем рассмотреть следующие вопросы: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понятие налогового вычета;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как получить налоговый вычет;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sz w:val="29"/>
          <w:szCs w:val="29"/>
        </w:rPr>
        <w:t>- социальные налоговые вычеты: виды, кто может их получить, размер, необходимые документы.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Понятие налогового вычета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Основные вопросы, связанные с налоговыми вычетами, регулируются Налоговым Кодексом России (далее – НК РФ), непосредственно главой 23 НК РФ («Налог на доходы физических лиц»).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rStyle w:val="a4"/>
          <w:sz w:val="29"/>
          <w:szCs w:val="29"/>
        </w:rPr>
        <w:t>Налоговый вычет</w:t>
      </w:r>
      <w:r>
        <w:rPr>
          <w:sz w:val="29"/>
          <w:szCs w:val="29"/>
        </w:rPr>
        <w:t> – это фиксированная сумма, уменьшающая размер доходов, подлежащих налогообложению или возврат части уплаченного налога на доходы физических лиц в связи с произведенными расходами на покупку квартиры, оплату обучения и другие траты.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Кто имеет право получить налоговый вычет?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Получить налоговый вычет могут те граждане, у кого есть официальный доход, с которого выплачивается НДФЛ.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Также в соответствии со статьей 207 НК РФ нужно быть резидентом РФ (под которыми понимаются физические лица, фактически находящиеся в России не менее 183 календарных дней в течение 12 следующих подряд месяцев).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Нерезиденты не смогут получить налоговый вычет.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Как получить налоговый вычет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Применение налоговых вычетов по НДФЛ является правом налогоплательщика и носит заявительный характер.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В соответствии с НК РФ</w:t>
      </w:r>
      <w:r>
        <w:rPr>
          <w:rStyle w:val="a4"/>
          <w:sz w:val="29"/>
          <w:szCs w:val="29"/>
        </w:rPr>
        <w:t> налоговый вычет можно получить двумя способами.</w:t>
      </w:r>
    </w:p>
    <w:p w:rsidR="00862F9B" w:rsidRDefault="00862F9B" w:rsidP="00862F9B">
      <w:pPr>
        <w:numPr>
          <w:ilvl w:val="0"/>
          <w:numId w:val="1"/>
        </w:numPr>
        <w:spacing w:before="100" w:beforeAutospacing="1" w:after="0" w:line="240" w:lineRule="auto"/>
        <w:rPr>
          <w:sz w:val="29"/>
          <w:szCs w:val="29"/>
        </w:rPr>
      </w:pPr>
      <w:r>
        <w:rPr>
          <w:rStyle w:val="a4"/>
          <w:sz w:val="29"/>
          <w:szCs w:val="29"/>
        </w:rPr>
        <w:t>По окончании календарного года, в котором были произведены расходы, социальный вычет может быть предоставлен налоговой инспекцией</w:t>
      </w:r>
      <w:r>
        <w:rPr>
          <w:sz w:val="29"/>
          <w:szCs w:val="29"/>
        </w:rPr>
        <w:t> по месту жительства налогоплательщика.</w:t>
      </w:r>
    </w:p>
    <w:p w:rsidR="00862F9B" w:rsidRDefault="00862F9B" w:rsidP="00862F9B">
      <w:pPr>
        <w:pStyle w:val="articledecorationfirst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Для этого налогоплательщику необходимо: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заполнить налоговую декларацию;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подготовить документы;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представить декларацию и документы в налоговую инспекцию.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2. В отдельных случаях социальный вычет можно получить и до окончания налогового периода, в котором произведены расходы, при обращении к </w:t>
      </w:r>
      <w:r>
        <w:rPr>
          <w:rStyle w:val="a4"/>
          <w:sz w:val="29"/>
          <w:szCs w:val="29"/>
        </w:rPr>
        <w:t>работодателю</w:t>
      </w:r>
      <w:r>
        <w:rPr>
          <w:sz w:val="29"/>
          <w:szCs w:val="29"/>
        </w:rPr>
        <w:t>, предварительно подтвердив это право в налоговом органе. Работодатель в этом случае не будет удерживать НДФЛ при выплате заработной платы на определенное время.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Для этого налогоплательщику необходимо: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подготовить документы;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представить в налоговый орган по месту жительства заявление на получение уведомления о праве на социальный вычет с необходимыми документами;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получить по истечении 30 дней в налоговом органе уведомление о праве на социальный вычет;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представить такое уведомление работодателю.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sz w:val="29"/>
          <w:szCs w:val="29"/>
        </w:rPr>
        <w:t xml:space="preserve">С 1 января 2022 г. вступят изменения в статью 219 НК РФ, согласно которым подтверждение права на социальный налоговый вычет </w:t>
      </w:r>
      <w:r>
        <w:rPr>
          <w:sz w:val="29"/>
          <w:szCs w:val="29"/>
        </w:rPr>
        <w:lastRenderedPageBreak/>
        <w:t>гражданина за обучение, лечение и физкультурно-оздоровительные услуги будет предоставляться работодателю не самим гражданином, а налоговым органом. Такое подтверждение будет предоставляться по форме и формату, утвержденным ФНС России.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Социальные налоговые вычеты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Положения о социальных налоговых вычетах содержатся в статье 219 НК РФ.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Под </w:t>
      </w:r>
      <w:r>
        <w:rPr>
          <w:rStyle w:val="a4"/>
          <w:sz w:val="29"/>
          <w:szCs w:val="29"/>
        </w:rPr>
        <w:t>социальным налоговым вычетом </w:t>
      </w:r>
      <w:r>
        <w:rPr>
          <w:sz w:val="29"/>
          <w:szCs w:val="29"/>
        </w:rPr>
        <w:t>понимается право налогоплательщика уменьшить размер облагаемой НДФЛ зарплаты и других выплат на сумму понесенных затрат на определенные цели.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Цели затрат: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благотворительность;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обучение;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лечение;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страхование;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прохождение независимой оценки своей квалификации;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физкультурно-оздоровительные услуги (такой вычет можно будет получать с 2023 г.).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Для каждого вида свои правила и лимиты. Предлагаем остановиться на каждом виде подробнее.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Социальный налоговый вычет при осуществлении затрат на благотворительность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Социальный налоговый вычет при осуществлении затрат на благотворительность возможен при осуществлении налогоплательщиком пожертвований благотворительным организациям, религиозным организациям, НКО в области науки, культуры и спорта (кроме профессионального спорта), образования, просвещения, здравоохранения, защиты прав и свобод человека и гражданина, социальной и правовой </w:t>
      </w:r>
      <w:r>
        <w:rPr>
          <w:sz w:val="29"/>
          <w:szCs w:val="29"/>
        </w:rPr>
        <w:lastRenderedPageBreak/>
        <w:t>поддержки и защиты граждан, содействия защите граждан от чрезвычайных ситуаций, охраны окружающей среды и защиты животных.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Кому положено: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Плательщик НДФЛ, к которому предъявляются общие требования в соответствии с НК РФ в части предоставления налогового вычета.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Размер: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Равен фактически произведенным расходам, но не более 25 % суммы дохода, полученного в налоговом периоде и подлежащего налогообложению.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Например, доходы у гражданина за 2020 г. составили 1 </w:t>
      </w:r>
      <w:proofErr w:type="spellStart"/>
      <w:r>
        <w:rPr>
          <w:sz w:val="29"/>
          <w:szCs w:val="29"/>
        </w:rPr>
        <w:t>млн</w:t>
      </w:r>
      <w:proofErr w:type="spellEnd"/>
      <w:r>
        <w:rPr>
          <w:sz w:val="29"/>
          <w:szCs w:val="29"/>
        </w:rPr>
        <w:t xml:space="preserve"> рублей. На благотворительность им было потрачено 300 тыс. рублей. Лимит </w:t>
      </w:r>
      <w:proofErr w:type="spellStart"/>
      <w:r>
        <w:rPr>
          <w:sz w:val="29"/>
          <w:szCs w:val="29"/>
        </w:rPr>
        <w:t>вычетасоставляет</w:t>
      </w:r>
      <w:proofErr w:type="spellEnd"/>
      <w:r>
        <w:rPr>
          <w:sz w:val="29"/>
          <w:szCs w:val="29"/>
        </w:rPr>
        <w:t xml:space="preserve"> 25 % от суммы дохода, значит он составит 250 тыс. рублей. Из расчета следует, что лимит меньше суммы пожертвования, значит размер вычета составит 250 тыс. рублей, а НДФЛ вернется в размере 32 500 рублей (13 % от 250 тыс. рублей).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Согласно разъяснениям ФНС России, при пожертвовании купленной квартиры размер вычета на благотворительность будет определен из стоимости ее приобретения. Если же квартира была получена на безвозмездной основе, то в случае ее жертвования сумма вычета будет равна нулю, так как отсутствуют документально подтвержденные расходы на ее приобретение (Письмо ФНС России от 13 декабря 2019 г. № БС-4-11/25714).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Документы: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Предоставить социальный вычет на благотворительность может только налоговый орган на основании налоговой декларации по окончании налогового периода (календарного года), в котором были произведены расходы на благотворительность (п. 2 ст. 219 НК РФ).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 НК РФ нет четкого списка документов, которые нужно приложить к декларации по НДФЛ, чтобы получить вычет за благотворительность.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sz w:val="29"/>
          <w:szCs w:val="29"/>
        </w:rPr>
        <w:t xml:space="preserve">Согласно разъяснениям ФНС России, к декларации можно </w:t>
      </w:r>
      <w:proofErr w:type="spellStart"/>
      <w:r>
        <w:rPr>
          <w:sz w:val="29"/>
          <w:szCs w:val="29"/>
        </w:rPr>
        <w:t>приложитьбумаги</w:t>
      </w:r>
      <w:proofErr w:type="spellEnd"/>
      <w:r>
        <w:rPr>
          <w:sz w:val="29"/>
          <w:szCs w:val="29"/>
        </w:rPr>
        <w:t xml:space="preserve"> на передачу денег: платежки, квитанции и т. п. Из них </w:t>
      </w:r>
      <w:r>
        <w:rPr>
          <w:sz w:val="29"/>
          <w:szCs w:val="29"/>
        </w:rPr>
        <w:lastRenderedPageBreak/>
        <w:t>должно быть видно, что человек сделал пожертвование организации (Письмо ФНС РФ от 6апреля 2011 г. № КЕ-4-3/5392@).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Социальный налоговый вычет при осуществлении затрат на обучение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Налогоплательщик имеет право на получение социального налогового вычета при осуществлении им затрат на обучение в организациях, осуществляющих образовательную деятельность (при наличии лицензии).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Кому положено: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Вычет на обучение может получить плательщик НДФЛ, который оплатил: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свое обучение на любой форме: дневной, вечерней, заочной и др.;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- обучение своего ребенка в возрасте до 24 лет, который учится </w:t>
      </w:r>
      <w:proofErr w:type="spellStart"/>
      <w:r>
        <w:rPr>
          <w:sz w:val="29"/>
          <w:szCs w:val="29"/>
        </w:rPr>
        <w:t>очно</w:t>
      </w:r>
      <w:proofErr w:type="spellEnd"/>
      <w:r>
        <w:rPr>
          <w:sz w:val="29"/>
          <w:szCs w:val="29"/>
        </w:rPr>
        <w:t>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- обучение опекаемого ребенка в возрасте до 18 лет, который учится </w:t>
      </w:r>
      <w:proofErr w:type="spellStart"/>
      <w:r>
        <w:rPr>
          <w:sz w:val="29"/>
          <w:szCs w:val="29"/>
        </w:rPr>
        <w:t>очно</w:t>
      </w:r>
      <w:proofErr w:type="spellEnd"/>
      <w:r>
        <w:rPr>
          <w:sz w:val="29"/>
          <w:szCs w:val="29"/>
        </w:rPr>
        <w:t>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- обучение бывшего опекаемого (после прекращения опеки) в </w:t>
      </w:r>
      <w:proofErr w:type="spellStart"/>
      <w:r>
        <w:rPr>
          <w:sz w:val="29"/>
          <w:szCs w:val="29"/>
        </w:rPr>
        <w:t>возрастедо</w:t>
      </w:r>
      <w:proofErr w:type="spellEnd"/>
      <w:r>
        <w:rPr>
          <w:sz w:val="29"/>
          <w:szCs w:val="29"/>
        </w:rPr>
        <w:t xml:space="preserve"> 24 лет, который учится </w:t>
      </w:r>
      <w:proofErr w:type="spellStart"/>
      <w:r>
        <w:rPr>
          <w:sz w:val="29"/>
          <w:szCs w:val="29"/>
        </w:rPr>
        <w:t>очно</w:t>
      </w:r>
      <w:proofErr w:type="spellEnd"/>
      <w:r>
        <w:rPr>
          <w:sz w:val="29"/>
          <w:szCs w:val="29"/>
        </w:rPr>
        <w:t>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 </w:t>
      </w:r>
      <w:hyperlink r:id="rId5" w:tgtFrame="_blank" w:tooltip="https://journal.tinkoff.ru/ask/vychet-za-obuchenie-sister/" w:history="1">
        <w:r>
          <w:rPr>
            <w:rStyle w:val="a5"/>
            <w:color w:val="1D528F"/>
            <w:sz w:val="29"/>
            <w:szCs w:val="29"/>
          </w:rPr>
          <w:t>обучение брата или сестры</w:t>
        </w:r>
      </w:hyperlink>
      <w:r>
        <w:rPr>
          <w:sz w:val="29"/>
          <w:szCs w:val="29"/>
        </w:rPr>
        <w:t xml:space="preserve"> (полнородных или </w:t>
      </w:r>
      <w:proofErr w:type="spellStart"/>
      <w:r>
        <w:rPr>
          <w:sz w:val="29"/>
          <w:szCs w:val="29"/>
        </w:rPr>
        <w:t>неполнородных</w:t>
      </w:r>
      <w:proofErr w:type="spellEnd"/>
      <w:r>
        <w:rPr>
          <w:sz w:val="29"/>
          <w:szCs w:val="29"/>
        </w:rPr>
        <w:t xml:space="preserve">) налогоплательщика в возрасте до 24 лет, которые учатся </w:t>
      </w:r>
      <w:proofErr w:type="spellStart"/>
      <w:r>
        <w:rPr>
          <w:sz w:val="29"/>
          <w:szCs w:val="29"/>
        </w:rPr>
        <w:t>очно</w:t>
      </w:r>
      <w:proofErr w:type="spellEnd"/>
      <w:r>
        <w:rPr>
          <w:sz w:val="29"/>
          <w:szCs w:val="29"/>
        </w:rPr>
        <w:t>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Размер: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Равен фактически произведенным расходам, но не более 50 тыс. рублей. Эта сумма предоставляется на каждого ребенка в семье, но его может применить только один из родителей, опекунов или попечителей. Таким образом, максимальный социальный вычет может составить 6 500 рублей (13% от 50 тыс. рублей).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Равен фактически произведенным расходам за свое(налогоплательщика) обучение, либо обучение брата (сестры), максимальный социальный вычет по указанным затратам может составить 15 600 рублей (13% от 120 тыс. рублей).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Документы: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lastRenderedPageBreak/>
        <w:t>Право на вычет можно подтвердить следующими документами: договор с образовательной организацией с указанием в нем очной формы обучения ребенка (подопечного), справка о предоставлении образовательных услуг в конкретном налоговом периоде по очной форме, а также выписка из внутренних документов организации (копии таких документов), копии свидетельства о рождении ребенка, копии документов, подтверждающих родство с братом (сестрой), подтверждающих опекунство, копии платежных документов, подтверждающих расходы за обучение.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Социальный вычет можно получить через налоговую инспекцию </w:t>
      </w:r>
      <w:proofErr w:type="spellStart"/>
      <w:r>
        <w:rPr>
          <w:sz w:val="29"/>
          <w:szCs w:val="29"/>
        </w:rPr>
        <w:t>иличерез</w:t>
      </w:r>
      <w:proofErr w:type="spellEnd"/>
      <w:r>
        <w:rPr>
          <w:sz w:val="29"/>
          <w:szCs w:val="29"/>
        </w:rPr>
        <w:t xml:space="preserve"> работодателя.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Как пояснил Минфин России в письме от 7 сентября 2017 г. № 03-04-06/57590, при предоставлении налогоплательщику социального налогового вычета по НДФЛ за обучение его детей (подопечных) определяющее значение имеют не образовательные технологии, используемые при обучении, а факт очного обучения в образовательных учреждениях. Таким образом, расходы за обучение в случае использования дистанционного способа также можно частично возместить.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При наличии лицензии или иного документа, подтверждающего право на ведение образовательного процесса, вычет можно получить по расходам на обучение не только в ВУЗе, но и в других образовательных учреждениях, как государственных, так и частных, в том числе: в детских садах, школах и др.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rStyle w:val="a4"/>
          <w:sz w:val="29"/>
          <w:szCs w:val="29"/>
        </w:rPr>
        <w:t>Условие отказа:</w:t>
      </w:r>
      <w:r>
        <w:rPr>
          <w:sz w:val="29"/>
          <w:szCs w:val="29"/>
        </w:rPr>
        <w:t> вычет не применяется в случае, если оплата расходов на обучение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Социальный налоговый вычет при осуществлении затрат на лечение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Гражданин имеет право на получение социального вычета при осуществлении затрат на медицинские услуги (лечение). Важно, чтобы у клиники, которая оказывала медицинские услуги, а также страховой компании, с которой заключается договор ДМС, были лицензии.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Кому положено: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lastRenderedPageBreak/>
        <w:t>Социальный вычет на лечение может получить человек, у которого были медицинские расходы на себя, супруга, родителей или детей до 18 лет, в том числе усыновленных.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Медицинские расходы могут быть следующие: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стоимость </w:t>
      </w:r>
      <w:hyperlink r:id="rId6" w:tgtFrame="_blank" w:tooltip="https://journal.tinkoff.ru/news/vernite-ndfl-za-lekarstva/" w:history="1">
        <w:r>
          <w:rPr>
            <w:rStyle w:val="a5"/>
            <w:color w:val="1D528F"/>
            <w:sz w:val="29"/>
            <w:szCs w:val="29"/>
          </w:rPr>
          <w:t>лекарств, которые назначил врач</w:t>
        </w:r>
      </w:hyperlink>
      <w:r>
        <w:rPr>
          <w:sz w:val="29"/>
          <w:szCs w:val="29"/>
        </w:rPr>
        <w:t>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медицинские услуги: приемы врачей, обследования, анализы, процедуры;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дорогостоящее лечение;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 </w:t>
      </w:r>
      <w:hyperlink r:id="rId7" w:tgtFrame="_blank" w:history="1">
        <w:r>
          <w:rPr>
            <w:rStyle w:val="a5"/>
            <w:color w:val="1D528F"/>
            <w:sz w:val="29"/>
            <w:szCs w:val="29"/>
          </w:rPr>
          <w:t>взносы по договору ДМС.</w:t>
        </w:r>
      </w:hyperlink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Размер: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Размер вычета зависит от вида лечения: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- по дорогостоящему лечению расходы принимаются к </w:t>
      </w:r>
      <w:proofErr w:type="spellStart"/>
      <w:r>
        <w:rPr>
          <w:sz w:val="29"/>
          <w:szCs w:val="29"/>
        </w:rPr>
        <w:t>вычетубез</w:t>
      </w:r>
      <w:proofErr w:type="spellEnd"/>
      <w:r>
        <w:rPr>
          <w:sz w:val="29"/>
          <w:szCs w:val="29"/>
        </w:rPr>
        <w:t xml:space="preserve"> ограничений, Перечень дорогостоящих видов лечения утвержден постановлением Правительства России от 8 апреля 2020 г. № 458, вступил в силу с 1 января 2021 г.;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если лечение не попадает под дорогостоящее, то максимальный социальный вычет по указанным затратам может составить 15 600 рублей (13% от 120 тыс. рублей).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Документы: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Социальный вычет можно получить через налоговую инспекцию </w:t>
      </w:r>
      <w:proofErr w:type="spellStart"/>
      <w:r>
        <w:rPr>
          <w:sz w:val="29"/>
          <w:szCs w:val="29"/>
        </w:rPr>
        <w:t>иличерез</w:t>
      </w:r>
      <w:proofErr w:type="spellEnd"/>
      <w:r>
        <w:rPr>
          <w:sz w:val="29"/>
          <w:szCs w:val="29"/>
        </w:rPr>
        <w:t xml:space="preserve"> работодателя.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Право на вычет нужно подтвердить: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копией договора с клиникой на оказание медицинских услуг;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справкой об оплате медицинских услуг;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копией рецепта на лекарство, выписанном на специальном бланке;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копиями платежных документов: чеки, приходно-кассовых ордеры, платежные поручения и др.;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lastRenderedPageBreak/>
        <w:t>- документы о родстве: копия свидетельства о рождении, свидетельства о браке (если расходы несли за члена семьи).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rStyle w:val="a4"/>
          <w:sz w:val="29"/>
          <w:szCs w:val="29"/>
        </w:rPr>
        <w:t>Условие отказа: </w:t>
      </w:r>
      <w:r>
        <w:rPr>
          <w:sz w:val="29"/>
          <w:szCs w:val="29"/>
        </w:rPr>
        <w:t>если оплата стоимости медицинских услуг и приобретенных лекарственных препаратов для медицинского применения и (или) уплата страховых взносов были произведены за счет средств работодателей.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Социальный налоговый вычет при осуществлении затрат на страхование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 данном случае имеются в виду затраты на страхование: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негосударственное пенсионное обеспечение (НПО);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добровольное пенсионное страхование;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добровольное страхование жизни по договорам, заключаемым на срок не менее 5 лет;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на уплату дополнительных страховых взносов на накопительную пенсию.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Условие: предоставляется при представлении налогоплательщиком документов, подтверждающих его фактические расходы по негосударственному пенсионному обеспечению и (или) добровольному пенсионному страхованию и (или) добровольному страхованию жизни.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Например, социальным налоговым вычетом на НПО может воспользоваться налогоплательщик, который направляет часть своего дохода на формирование негосударственной пенсии.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Размер:</w:t>
      </w:r>
      <w:r>
        <w:rPr>
          <w:sz w:val="29"/>
          <w:szCs w:val="29"/>
        </w:rPr>
        <w:t> можно вернуть 13% от суммы пенсионных взносов, но не более 15 600 рублей (13% от 120 тыс. рублей).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Кому положено: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Можно заключить договор с НПО и делать взносы не только в свою пользу, но еще и в пользу: мужа (жены), родителей, детей, братьев (сестер), бабушек (дедушек), внуков, подопечных детей-инвалидов до 18 лет.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lastRenderedPageBreak/>
        <w:t>Документы: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Оформить данный социальный налоговый вычет можно только через налоговую инспекцию. Для этого необходимо предоставить следующие документы: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- договоры (соглашения) на пожертвование, оказание благотворительной помощи и т.п.;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sz w:val="29"/>
          <w:szCs w:val="29"/>
        </w:rPr>
        <w:t>- платежные документы (чеки, квитанции, платежные поручения и т.д.).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Социальный налоговый вычет при осуществлении затрат на прохождение независимой оценки своей квалификации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Вычет предоставляется в размере фактически произведенных расходов на прохождение независимой оценки квалификации на соответствие требованиям к квалификации с учетом ограничения – в совокупности не более 120 тыс. рублей за налоговый период.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Независимая оценка квалификации проводится в форме профессионального экзамена центром оценки квалификаций в порядке, установленном Правительством России (ее проведение регламентируется Федеральным законом от 3 июля 2016 г. № 238-ФЗ «О независимой оценке квалификации»).</w:t>
      </w:r>
    </w:p>
    <w:p w:rsidR="00862F9B" w:rsidRDefault="00862F9B" w:rsidP="00862F9B">
      <w:pPr>
        <w:pStyle w:val="3"/>
        <w:spacing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Социальный налоговый вычет при осуществлении затрат на физкультурно-оздоровительные услуги</w:t>
      </w:r>
    </w:p>
    <w:p w:rsidR="00862F9B" w:rsidRDefault="00862F9B" w:rsidP="00862F9B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С 1 января 2022 г. в соответствии с Федеральным законом от 5 апреля 2021 г. № 88-ФЗ «О внесении изменений в статью 219 части второй Налогового кодекса Российской Федерации в части предоставления социального налогового вычета в сумме, уплаченной налогоплательщиком за оказанные ему физкультурно-оздоровительные услуги» </w:t>
      </w:r>
      <w:proofErr w:type="spellStart"/>
      <w:r>
        <w:rPr>
          <w:sz w:val="29"/>
          <w:szCs w:val="29"/>
        </w:rPr>
        <w:t>устанавливаетсявозможность</w:t>
      </w:r>
      <w:proofErr w:type="spellEnd"/>
      <w:r>
        <w:rPr>
          <w:sz w:val="29"/>
          <w:szCs w:val="29"/>
        </w:rPr>
        <w:t xml:space="preserve"> получения социального налогового вычета по НДФЛ за физкультурно-оздоровительные услуги (фитнес).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Кому положено: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Гражданин России, являющийся плательщиком НДФЛ, а также его детям (в том числе усыновленным и подопечным) в возрасте до 18 лет.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lastRenderedPageBreak/>
        <w:t>Размер: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Максимальный социальный вычет по указанным затратам может составить 15 600 рублей (13% от 120 тыс. рублей).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Документы:</w:t>
      </w:r>
    </w:p>
    <w:p w:rsidR="00862F9B" w:rsidRDefault="00862F9B" w:rsidP="00862F9B">
      <w:pPr>
        <w:pStyle w:val="a3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Есть два способа подать документы: в налоговую инспекцию подать налоговую декларацию с приложением копии договора на оказание услуг по фитнесу и кассового чека, подтверждающего оплату таких услуг. Либо можно оформить такой вычет через работодателя.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В связи с тем, что положения о таком вычете вступают в силу с 1 января 2022 г., то документы можно будет подать, начиная с 2023 г., так как социальный налоговый вычет оформляется по окончании года.</w:t>
      </w:r>
    </w:p>
    <w:p w:rsidR="00862F9B" w:rsidRDefault="00862F9B" w:rsidP="00862F9B">
      <w:pPr>
        <w:pStyle w:val="a3"/>
        <w:spacing w:after="0" w:afterAutospacing="0"/>
        <w:rPr>
          <w:sz w:val="29"/>
          <w:szCs w:val="29"/>
        </w:rPr>
      </w:pPr>
      <w:r>
        <w:rPr>
          <w:rStyle w:val="a4"/>
          <w:sz w:val="29"/>
          <w:szCs w:val="29"/>
        </w:rPr>
        <w:t>Внимание</w:t>
      </w:r>
    </w:p>
    <w:p w:rsidR="00862F9B" w:rsidRDefault="00862F9B" w:rsidP="00862F9B">
      <w:pPr>
        <w:spacing w:before="360"/>
        <w:rPr>
          <w:sz w:val="29"/>
          <w:szCs w:val="29"/>
        </w:rPr>
      </w:pPr>
      <w:r>
        <w:rPr>
          <w:rStyle w:val="a4"/>
          <w:sz w:val="29"/>
          <w:szCs w:val="29"/>
        </w:rPr>
        <w:t>В случае наличия у налогоплательщика в течение одного налогового периода расходов по вычетам за лечение (за исключением расходов на дорогостоящее лечение), обучение (за исключением расходов на обучение детей налогоплательщика), страхование, прохождение независимой оценки своей квалификации, физкультурно-оздоровительные услуги (положения о таком вычете вступают в силу с 1 января 2022 г.), налогоплательщик самостоятельно, в том числе при обращении к налоговому агенту, выбирает, какие виды расходов и в каких суммах учитываются в пределах максимальной величины социального налогового вычета –</w:t>
      </w:r>
      <w:r>
        <w:rPr>
          <w:sz w:val="29"/>
          <w:szCs w:val="29"/>
        </w:rPr>
        <w:t> </w:t>
      </w:r>
      <w:r>
        <w:rPr>
          <w:rStyle w:val="a4"/>
          <w:sz w:val="29"/>
          <w:szCs w:val="29"/>
        </w:rPr>
        <w:t>120 тыс. рублей</w:t>
      </w:r>
      <w:r>
        <w:rPr>
          <w:sz w:val="29"/>
          <w:szCs w:val="29"/>
        </w:rPr>
        <w:t>.</w:t>
      </w:r>
    </w:p>
    <w:p w:rsidR="00A72DB1" w:rsidRDefault="00A72DB1"/>
    <w:sectPr w:rsidR="00A72DB1" w:rsidSect="00A7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7A1"/>
    <w:multiLevelType w:val="multilevel"/>
    <w:tmpl w:val="C92C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2F9B"/>
    <w:rsid w:val="00862F9B"/>
    <w:rsid w:val="00A7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B1"/>
  </w:style>
  <w:style w:type="paragraph" w:styleId="1">
    <w:name w:val="heading 1"/>
    <w:basedOn w:val="a"/>
    <w:link w:val="10"/>
    <w:uiPriority w:val="9"/>
    <w:qFormat/>
    <w:rsid w:val="00862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F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86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F9B"/>
    <w:rPr>
      <w:b/>
      <w:bCs/>
    </w:rPr>
  </w:style>
  <w:style w:type="character" w:styleId="a5">
    <w:name w:val="Hyperlink"/>
    <w:basedOn w:val="a0"/>
    <w:uiPriority w:val="99"/>
    <w:semiHidden/>
    <w:unhideWhenUsed/>
    <w:rsid w:val="00862F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journal.tinkoff.ru%2Fask%2Fvychet-dms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journal.tinkoff.ru%2Fnews%2Fvernite-ndfl-za-lekarstva%2F&amp;cc_key=" TargetMode="External"/><Relationship Id="rId5" Type="http://schemas.openxmlformats.org/officeDocument/2006/relationships/hyperlink" Target="https://vk.com/away.php?to=https%3A%2F%2Fjournal.tinkoff.ru%2Fask%2Fvychet-za-obuchenie-sister%2F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2218</Words>
  <Characters>12647</Characters>
  <Application>Microsoft Office Word</Application>
  <DocSecurity>0</DocSecurity>
  <Lines>105</Lines>
  <Paragraphs>29</Paragraphs>
  <ScaleCrop>false</ScaleCrop>
  <Company/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INFOOTDEL</dc:creator>
  <cp:lastModifiedBy>INFOOTDEL</cp:lastModifiedBy>
  <cp:revision>1</cp:revision>
  <dcterms:created xsi:type="dcterms:W3CDTF">2021-07-01T11:23:00Z</dcterms:created>
  <dcterms:modified xsi:type="dcterms:W3CDTF">2021-07-01T11:24:00Z</dcterms:modified>
</cp:coreProperties>
</file>